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661" w:rsidRDefault="00746661" w:rsidP="00D7716A">
      <w:pPr>
        <w:widowControl w:val="0"/>
        <w:tabs>
          <w:tab w:val="left" w:pos="851"/>
        </w:tabs>
        <w:spacing w:line="360" w:lineRule="auto"/>
        <w:ind w:right="-164"/>
        <w:jc w:val="both"/>
        <w:rPr>
          <w:rFonts w:ascii="Palatino Linotype" w:eastAsia="Calibri" w:hAnsi="Palatino Linotype" w:cs="Arial"/>
          <w:b/>
          <w:color w:val="000000"/>
        </w:rPr>
      </w:pPr>
      <w:r w:rsidRPr="002E6BDD">
        <w:rPr>
          <w:rFonts w:ascii="Palatino Linotype" w:hAnsi="Palatino Linotype" w:cs="Arial"/>
          <w:b/>
        </w:rPr>
        <w:t xml:space="preserve">VOTO PARTICULAR </w:t>
      </w:r>
      <w:r w:rsidR="003033F5">
        <w:rPr>
          <w:rFonts w:ascii="Palatino Linotype" w:hAnsi="Palatino Linotype" w:cs="Arial"/>
          <w:b/>
        </w:rPr>
        <w:t xml:space="preserve">CONCURRENTE </w:t>
      </w:r>
      <w:r w:rsidRPr="002E6BDD">
        <w:rPr>
          <w:rFonts w:ascii="Palatino Linotype" w:hAnsi="Palatino Linotype" w:cs="Arial"/>
          <w:b/>
        </w:rPr>
        <w:t>QUE FORMULA</w:t>
      </w:r>
      <w:r w:rsidR="003033F5">
        <w:rPr>
          <w:rFonts w:ascii="Palatino Linotype" w:hAnsi="Palatino Linotype" w:cs="Arial"/>
          <w:b/>
        </w:rPr>
        <w:t>N LA COMISIONADA</w:t>
      </w:r>
      <w:r w:rsidRPr="002E6BDD">
        <w:rPr>
          <w:rFonts w:ascii="Palatino Linotype" w:hAnsi="Palatino Linotype" w:cs="Arial"/>
          <w:b/>
        </w:rPr>
        <w:t xml:space="preserve"> EVA ABAID YAPUR</w:t>
      </w:r>
      <w:r w:rsidR="003033F5">
        <w:rPr>
          <w:rFonts w:ascii="Palatino Linotype" w:hAnsi="Palatino Linotype" w:cs="Arial"/>
          <w:b/>
        </w:rPr>
        <w:t xml:space="preserve"> Y EL COMISIONADO JAVIER MARTÍNEZ CRUZ</w:t>
      </w:r>
      <w:r w:rsidRPr="002E6BDD">
        <w:rPr>
          <w:rFonts w:ascii="Palatino Linotype" w:hAnsi="Palatino Linotype" w:cs="Arial"/>
          <w:b/>
        </w:rPr>
        <w:t xml:space="preserve">, EN RELACIÓN CON LA RESOLUCIÓN DICTADA POR EL PLENO DEL INSTITUTO DE TRANSPARENCIA, ACCESO A LA INFORMACIÓN PÚBLICA Y PROTECCIÓN DE DATOS PERSONALES DEL ESTADO DE MÉXICO Y MUNICIPIOS, EN LA </w:t>
      </w:r>
      <w:r w:rsidR="00D7716A">
        <w:rPr>
          <w:rFonts w:ascii="Palatino Linotype" w:hAnsi="Palatino Linotype" w:cs="Arial"/>
          <w:b/>
        </w:rPr>
        <w:t>TRIGÉSI</w:t>
      </w:r>
      <w:r w:rsidR="003033F5">
        <w:rPr>
          <w:rFonts w:ascii="Palatino Linotype" w:hAnsi="Palatino Linotype" w:cs="Arial"/>
          <w:b/>
        </w:rPr>
        <w:t>MA SEGUNDA</w:t>
      </w:r>
      <w:r w:rsidRPr="002E6BDD">
        <w:rPr>
          <w:rFonts w:ascii="Palatino Linotype" w:hAnsi="Palatino Linotype" w:cs="Arial"/>
          <w:b/>
        </w:rPr>
        <w:t xml:space="preserve"> SESIÓN ORDINARIA DE </w:t>
      </w:r>
      <w:r w:rsidR="003033F5">
        <w:rPr>
          <w:rFonts w:ascii="Palatino Linotype" w:hAnsi="Palatino Linotype" w:cs="Arial"/>
          <w:b/>
        </w:rPr>
        <w:t>CINCO</w:t>
      </w:r>
      <w:r w:rsidR="00D7716A">
        <w:rPr>
          <w:rFonts w:ascii="Palatino Linotype" w:hAnsi="Palatino Linotype" w:cs="Arial"/>
          <w:b/>
        </w:rPr>
        <w:t xml:space="preserve"> DE SEPTIEMBRE</w:t>
      </w:r>
      <w:r w:rsidR="003033F5">
        <w:rPr>
          <w:rFonts w:ascii="Palatino Linotype" w:hAnsi="Palatino Linotype" w:cs="Arial"/>
          <w:b/>
        </w:rPr>
        <w:t xml:space="preserve"> DE DOS MIL DIECIOCHO</w:t>
      </w:r>
      <w:r w:rsidRPr="002E6BDD">
        <w:rPr>
          <w:rFonts w:ascii="Palatino Linotype" w:hAnsi="Palatino Linotype" w:cs="Arial"/>
          <w:b/>
        </w:rPr>
        <w:t>, EN EL RECURSO DE REVISIÓN 0</w:t>
      </w:r>
      <w:r w:rsidR="003033F5">
        <w:rPr>
          <w:rFonts w:ascii="Palatino Linotype" w:hAnsi="Palatino Linotype" w:cs="Arial"/>
          <w:b/>
        </w:rPr>
        <w:t>2461</w:t>
      </w:r>
      <w:r w:rsidR="00D00CD7">
        <w:rPr>
          <w:rFonts w:ascii="Palatino Linotype" w:hAnsi="Palatino Linotype" w:cs="Arial"/>
          <w:b/>
        </w:rPr>
        <w:t>/INFOEM/IP/RR/2018</w:t>
      </w:r>
      <w:r w:rsidRPr="002E6BDD">
        <w:rPr>
          <w:rFonts w:ascii="Palatino Linotype" w:eastAsia="Calibri" w:hAnsi="Palatino Linotype" w:cs="Arial"/>
          <w:b/>
          <w:color w:val="000000"/>
        </w:rPr>
        <w:t>.</w:t>
      </w:r>
    </w:p>
    <w:p w:rsidR="0076436E" w:rsidRPr="002E6BDD" w:rsidRDefault="0076436E" w:rsidP="0076436E">
      <w:pPr>
        <w:widowControl w:val="0"/>
        <w:spacing w:line="360" w:lineRule="auto"/>
        <w:ind w:right="-164"/>
        <w:jc w:val="both"/>
        <w:rPr>
          <w:rFonts w:ascii="Palatino Linotype" w:eastAsia="Calibri" w:hAnsi="Palatino Linotype" w:cs="Arial"/>
          <w:b/>
          <w:color w:val="000000"/>
        </w:rPr>
      </w:pPr>
    </w:p>
    <w:p w:rsidR="00746661" w:rsidRDefault="00746661" w:rsidP="0076436E">
      <w:pPr>
        <w:spacing w:line="360" w:lineRule="auto"/>
        <w:jc w:val="both"/>
        <w:rPr>
          <w:rFonts w:ascii="Palatino Linotype" w:hAnsi="Palatino Linotype" w:cs="Arial"/>
        </w:rPr>
      </w:pPr>
      <w:r w:rsidRPr="002E6BDD">
        <w:rPr>
          <w:rFonts w:ascii="Palatino Linotype" w:hAnsi="Palatino Linotype" w:cs="Arial"/>
        </w:rPr>
        <w:t>Con fundamento en lo dispuesto por el artículo 14</w:t>
      </w:r>
      <w:r w:rsidR="005A1540">
        <w:rPr>
          <w:rFonts w:ascii="Palatino Linotype" w:hAnsi="Palatino Linotype" w:cs="Arial"/>
        </w:rPr>
        <w:t>,</w:t>
      </w:r>
      <w:r w:rsidRPr="002E6BDD">
        <w:rPr>
          <w:rFonts w:ascii="Palatino Linotype" w:hAnsi="Palatino Linotype" w:cs="Arial"/>
        </w:rPr>
        <w:t xml:space="preserve"> fracciones X y XI del Reglamento Interior del Instituto de Transparencia, Acceso a la Información Pública y Protección de Datos Personales del E</w:t>
      </w:r>
      <w:r w:rsidR="003033F5">
        <w:rPr>
          <w:rFonts w:ascii="Palatino Linotype" w:hAnsi="Palatino Linotype" w:cs="Arial"/>
        </w:rPr>
        <w:t>stado de México y Municipios, los</w:t>
      </w:r>
      <w:r w:rsidRPr="002E6BDD">
        <w:rPr>
          <w:rFonts w:ascii="Palatino Linotype" w:hAnsi="Palatino Linotype" w:cs="Arial"/>
        </w:rPr>
        <w:t xml:space="preserve"> que suscribe</w:t>
      </w:r>
      <w:r w:rsidR="003033F5">
        <w:rPr>
          <w:rFonts w:ascii="Palatino Linotype" w:hAnsi="Palatino Linotype" w:cs="Arial"/>
        </w:rPr>
        <w:t>n</w:t>
      </w:r>
      <w:r w:rsidRPr="002E6BDD">
        <w:rPr>
          <w:rFonts w:ascii="Palatino Linotype" w:hAnsi="Palatino Linotype" w:cs="Arial"/>
          <w:b/>
          <w:lang w:val="es-ES_tradnl"/>
        </w:rPr>
        <w:t xml:space="preserve"> </w:t>
      </w:r>
      <w:r w:rsidRPr="002E6BDD">
        <w:rPr>
          <w:rFonts w:ascii="Palatino Linotype" w:hAnsi="Palatino Linotype" w:cs="Arial"/>
          <w:b/>
        </w:rPr>
        <w:t xml:space="preserve">EVA ABAID YAPUR </w:t>
      </w:r>
      <w:r w:rsidR="003033F5">
        <w:rPr>
          <w:rFonts w:ascii="Palatino Linotype" w:hAnsi="Palatino Linotype" w:cs="Arial"/>
        </w:rPr>
        <w:t xml:space="preserve">y </w:t>
      </w:r>
      <w:r w:rsidR="003033F5">
        <w:rPr>
          <w:rFonts w:ascii="Palatino Linotype" w:hAnsi="Palatino Linotype" w:cs="Arial"/>
          <w:b/>
        </w:rPr>
        <w:t xml:space="preserve">JAVIER MERTÍNEZ CRUZ </w:t>
      </w:r>
      <w:r w:rsidRPr="002E6BDD">
        <w:rPr>
          <w:rFonts w:ascii="Palatino Linotype" w:hAnsi="Palatino Linotype" w:cs="Arial"/>
        </w:rPr>
        <w:t>emite</w:t>
      </w:r>
      <w:r w:rsidR="003033F5">
        <w:rPr>
          <w:rFonts w:ascii="Palatino Linotype" w:hAnsi="Palatino Linotype" w:cs="Arial"/>
        </w:rPr>
        <w:t>n</w:t>
      </w:r>
      <w:r w:rsidRPr="002E6BDD">
        <w:rPr>
          <w:rFonts w:ascii="Palatino Linotype" w:hAnsi="Palatino Linotype" w:cs="Arial"/>
        </w:rPr>
        <w:t xml:space="preserve"> </w:t>
      </w:r>
      <w:r w:rsidRPr="002E6BDD">
        <w:rPr>
          <w:rFonts w:ascii="Palatino Linotype" w:hAnsi="Palatino Linotype" w:cs="Arial"/>
          <w:b/>
        </w:rPr>
        <w:t xml:space="preserve">VOTO PARTICULAR </w:t>
      </w:r>
      <w:r w:rsidR="00117251">
        <w:rPr>
          <w:rFonts w:ascii="Palatino Linotype" w:hAnsi="Palatino Linotype" w:cs="Arial"/>
          <w:b/>
        </w:rPr>
        <w:t xml:space="preserve">CONCURRENTE </w:t>
      </w:r>
      <w:r w:rsidRPr="002E6BDD">
        <w:rPr>
          <w:rFonts w:ascii="Palatino Linotype" w:hAnsi="Palatino Linotype" w:cs="Arial"/>
        </w:rPr>
        <w:t xml:space="preserve">respecto de la resolución dictada en el recurso de revisión </w:t>
      </w:r>
      <w:r w:rsidRPr="002E6BDD">
        <w:rPr>
          <w:rFonts w:ascii="Palatino Linotype" w:eastAsia="Calibri" w:hAnsi="Palatino Linotype" w:cs="Arial"/>
          <w:b/>
          <w:color w:val="000000"/>
        </w:rPr>
        <w:t>0</w:t>
      </w:r>
      <w:r w:rsidR="003033F5">
        <w:rPr>
          <w:rFonts w:ascii="Palatino Linotype" w:eastAsia="Calibri" w:hAnsi="Palatino Linotype" w:cs="Arial"/>
          <w:b/>
          <w:color w:val="000000"/>
        </w:rPr>
        <w:t>2461</w:t>
      </w:r>
      <w:r w:rsidR="00D00CD7">
        <w:rPr>
          <w:rFonts w:ascii="Palatino Linotype" w:eastAsia="Calibri" w:hAnsi="Palatino Linotype" w:cs="Arial"/>
          <w:b/>
          <w:color w:val="000000"/>
        </w:rPr>
        <w:t>/INFOEM/IP/RR/2018</w:t>
      </w:r>
      <w:r w:rsidRPr="002E6BDD">
        <w:rPr>
          <w:rFonts w:ascii="Palatino Linotype" w:hAnsi="Palatino Linotype" w:cs="Arial"/>
        </w:rPr>
        <w:t xml:space="preserve">, pronunciada por el Pleno de este Instituto ante el proyecto presentado por </w:t>
      </w:r>
      <w:r>
        <w:rPr>
          <w:rFonts w:ascii="Palatino Linotype" w:hAnsi="Palatino Linotype" w:cs="Arial"/>
        </w:rPr>
        <w:t>la</w:t>
      </w:r>
      <w:r w:rsidRPr="002E6BDD">
        <w:rPr>
          <w:rFonts w:ascii="Palatino Linotype" w:hAnsi="Palatino Linotype" w:cs="Arial"/>
        </w:rPr>
        <w:t xml:space="preserve"> Comisionad</w:t>
      </w:r>
      <w:r>
        <w:rPr>
          <w:rFonts w:ascii="Palatino Linotype" w:hAnsi="Palatino Linotype" w:cs="Arial"/>
        </w:rPr>
        <w:t>a</w:t>
      </w:r>
      <w:r w:rsidR="003033F5">
        <w:rPr>
          <w:rFonts w:ascii="Palatino Linotype" w:hAnsi="Palatino Linotype" w:cs="Arial"/>
        </w:rPr>
        <w:t xml:space="preserve"> Presidenta</w:t>
      </w:r>
      <w:r w:rsidR="006E0B3D">
        <w:rPr>
          <w:rFonts w:ascii="Palatino Linotype" w:hAnsi="Palatino Linotype" w:cs="Arial"/>
        </w:rPr>
        <w:t xml:space="preserve"> </w:t>
      </w:r>
      <w:r w:rsidR="003033F5">
        <w:rPr>
          <w:rFonts w:ascii="Palatino Linotype" w:hAnsi="Palatino Linotype" w:cs="Arial"/>
          <w:b/>
        </w:rPr>
        <w:t>ZULEMA MARTÍNEZ SÁNCHEZ</w:t>
      </w:r>
      <w:r w:rsidR="005A1540">
        <w:rPr>
          <w:rFonts w:ascii="Palatino Linotype" w:hAnsi="Palatino Linotype" w:cs="Arial"/>
        </w:rPr>
        <w:t>, que es del tenor siguiente.</w:t>
      </w:r>
    </w:p>
    <w:p w:rsidR="0076436E" w:rsidRPr="002E6BDD" w:rsidRDefault="0076436E" w:rsidP="0076436E">
      <w:pPr>
        <w:spacing w:line="360" w:lineRule="auto"/>
        <w:jc w:val="both"/>
        <w:rPr>
          <w:rFonts w:ascii="Palatino Linotype" w:hAnsi="Palatino Linotype" w:cs="Arial"/>
        </w:rPr>
      </w:pPr>
    </w:p>
    <w:p w:rsidR="00746661" w:rsidRDefault="00746661" w:rsidP="0076436E">
      <w:pPr>
        <w:spacing w:line="360" w:lineRule="auto"/>
        <w:jc w:val="both"/>
        <w:rPr>
          <w:rFonts w:ascii="Palatino Linotype" w:hAnsi="Palatino Linotype"/>
        </w:rPr>
      </w:pPr>
      <w:r w:rsidRPr="002E6BDD">
        <w:rPr>
          <w:rFonts w:ascii="Palatino Linotype" w:hAnsi="Palatino Linotype"/>
        </w:rPr>
        <w:t>En primer término, es de señalar como quedó debidamente asentado en la resolución materia del presente voto</w:t>
      </w:r>
      <w:r w:rsidR="00797A58">
        <w:rPr>
          <w:rFonts w:ascii="Palatino Linotype" w:hAnsi="Palatino Linotype"/>
        </w:rPr>
        <w:t>, el particular requirió</w:t>
      </w:r>
      <w:r w:rsidR="009E2AD9">
        <w:rPr>
          <w:rFonts w:ascii="Palatino Linotype" w:hAnsi="Palatino Linotype"/>
        </w:rPr>
        <w:t xml:space="preserve"> al</w:t>
      </w:r>
      <w:r w:rsidR="003033F5">
        <w:rPr>
          <w:rFonts w:ascii="Palatino Linotype" w:hAnsi="Palatino Linotype"/>
        </w:rPr>
        <w:t xml:space="preserve"> </w:t>
      </w:r>
      <w:r w:rsidR="003033F5" w:rsidRPr="007A5B2E">
        <w:rPr>
          <w:rFonts w:ascii="Palatino Linotype" w:hAnsi="Palatino Linotype" w:cs="Arial"/>
          <w:b/>
        </w:rPr>
        <w:t>Poder Judicial</w:t>
      </w:r>
      <w:r w:rsidR="005A1540">
        <w:rPr>
          <w:rFonts w:ascii="Palatino Linotype" w:hAnsi="Palatino Linotype" w:cs="Arial"/>
          <w:b/>
        </w:rPr>
        <w:t>,</w:t>
      </w:r>
      <w:r w:rsidR="003033F5">
        <w:rPr>
          <w:rFonts w:ascii="Palatino Linotype" w:hAnsi="Palatino Linotype" w:cs="Arial"/>
          <w:b/>
        </w:rPr>
        <w:t xml:space="preserve"> </w:t>
      </w:r>
      <w:r w:rsidR="003033F5">
        <w:rPr>
          <w:rFonts w:ascii="Palatino Linotype" w:hAnsi="Palatino Linotype" w:cs="Arial"/>
        </w:rPr>
        <w:t>en lo sucesivo</w:t>
      </w:r>
      <w:r w:rsidR="009E2AD9">
        <w:rPr>
          <w:rFonts w:ascii="Palatino Linotype" w:hAnsi="Palatino Linotype"/>
        </w:rPr>
        <w:t xml:space="preserve"> </w:t>
      </w:r>
      <w:r w:rsidRPr="002E6BDD">
        <w:rPr>
          <w:rFonts w:ascii="Palatino Linotype" w:hAnsi="Palatino Linotype"/>
          <w:b/>
        </w:rPr>
        <w:t>SUJETO OBLIGADO,</w:t>
      </w:r>
      <w:r w:rsidR="00797A58">
        <w:rPr>
          <w:rFonts w:ascii="Palatino Linotype" w:hAnsi="Palatino Linotype"/>
          <w:b/>
        </w:rPr>
        <w:t xml:space="preserve"> </w:t>
      </w:r>
      <w:r w:rsidR="003033F5">
        <w:rPr>
          <w:rFonts w:ascii="Palatino Linotype" w:hAnsi="Palatino Linotype"/>
        </w:rPr>
        <w:t>el tabulador del año 2018</w:t>
      </w:r>
      <w:r w:rsidR="00952958">
        <w:rPr>
          <w:rFonts w:ascii="Palatino Linotype" w:hAnsi="Palatino Linotype"/>
        </w:rPr>
        <w:t xml:space="preserve"> en donde se desglose las retenciones por</w:t>
      </w:r>
      <w:r w:rsidR="005A1540">
        <w:rPr>
          <w:rFonts w:ascii="Palatino Linotype" w:hAnsi="Palatino Linotype"/>
        </w:rPr>
        <w:t xml:space="preserve"> concepto de</w:t>
      </w:r>
      <w:r w:rsidR="00952958">
        <w:rPr>
          <w:rFonts w:ascii="Palatino Linotype" w:hAnsi="Palatino Linotype"/>
        </w:rPr>
        <w:t xml:space="preserve"> I</w:t>
      </w:r>
      <w:r w:rsidR="005A1540">
        <w:rPr>
          <w:rFonts w:ascii="Palatino Linotype" w:hAnsi="Palatino Linotype"/>
        </w:rPr>
        <w:t xml:space="preserve">mpuesto </w:t>
      </w:r>
      <w:r w:rsidR="00952958">
        <w:rPr>
          <w:rFonts w:ascii="Palatino Linotype" w:hAnsi="Palatino Linotype"/>
        </w:rPr>
        <w:t>S</w:t>
      </w:r>
      <w:r w:rsidR="005A1540">
        <w:rPr>
          <w:rFonts w:ascii="Palatino Linotype" w:hAnsi="Palatino Linotype"/>
        </w:rPr>
        <w:t xml:space="preserve">obre la </w:t>
      </w:r>
      <w:r w:rsidR="00952958">
        <w:rPr>
          <w:rFonts w:ascii="Palatino Linotype" w:hAnsi="Palatino Linotype"/>
        </w:rPr>
        <w:t>R</w:t>
      </w:r>
      <w:r w:rsidR="005A1540">
        <w:rPr>
          <w:rFonts w:ascii="Palatino Linotype" w:hAnsi="Palatino Linotype"/>
        </w:rPr>
        <w:t>enta</w:t>
      </w:r>
      <w:r w:rsidR="00952958">
        <w:rPr>
          <w:rFonts w:ascii="Palatino Linotype" w:hAnsi="Palatino Linotype"/>
        </w:rPr>
        <w:t xml:space="preserve"> y las aportaciones al ISSEMM</w:t>
      </w:r>
      <w:r w:rsidR="009E2AD9" w:rsidRPr="009E2AD9">
        <w:rPr>
          <w:rFonts w:ascii="Palatino Linotype" w:hAnsi="Palatino Linotype"/>
        </w:rPr>
        <w:t>.</w:t>
      </w:r>
    </w:p>
    <w:p w:rsidR="0076436E" w:rsidRPr="009E2AD9" w:rsidRDefault="0076436E" w:rsidP="0076436E">
      <w:pPr>
        <w:spacing w:line="360" w:lineRule="auto"/>
        <w:jc w:val="both"/>
        <w:rPr>
          <w:rFonts w:ascii="Palatino Linotype" w:hAnsi="Palatino Linotype"/>
        </w:rPr>
      </w:pPr>
    </w:p>
    <w:p w:rsidR="00746661" w:rsidRDefault="005A1540" w:rsidP="0076436E">
      <w:pPr>
        <w:spacing w:line="360" w:lineRule="auto"/>
        <w:jc w:val="both"/>
        <w:rPr>
          <w:rFonts w:ascii="Palatino Linotype" w:hAnsi="Palatino Linotype" w:cs="Arial"/>
        </w:rPr>
      </w:pPr>
      <w:r>
        <w:rPr>
          <w:rFonts w:ascii="Palatino Linotype" w:hAnsi="Palatino Linotype" w:cs="Arial"/>
        </w:rPr>
        <w:lastRenderedPageBreak/>
        <w:t>Al respecto,</w:t>
      </w:r>
      <w:r w:rsidR="00746661" w:rsidRPr="002E6BDD">
        <w:rPr>
          <w:rFonts w:ascii="Palatino Linotype" w:hAnsi="Palatino Linotype" w:cs="Arial"/>
        </w:rPr>
        <w:t xml:space="preserve"> </w:t>
      </w:r>
      <w:r w:rsidR="00746661" w:rsidRPr="002E6BDD">
        <w:rPr>
          <w:rFonts w:ascii="Palatino Linotype" w:hAnsi="Palatino Linotype" w:cs="Arial"/>
          <w:b/>
        </w:rPr>
        <w:t>EL SUJETO OBLIGADO</w:t>
      </w:r>
      <w:r w:rsidR="00D433D9">
        <w:rPr>
          <w:rFonts w:ascii="Palatino Linotype" w:hAnsi="Palatino Linotype" w:cs="Arial"/>
          <w:b/>
        </w:rPr>
        <w:t xml:space="preserve"> </w:t>
      </w:r>
      <w:r>
        <w:rPr>
          <w:rFonts w:ascii="Palatino Linotype" w:hAnsi="Palatino Linotype" w:cs="Arial"/>
        </w:rPr>
        <w:t xml:space="preserve">en su respuesta </w:t>
      </w:r>
      <w:r w:rsidR="00377D75">
        <w:rPr>
          <w:rFonts w:ascii="Palatino Linotype" w:hAnsi="Palatino Linotype" w:cs="Arial"/>
        </w:rPr>
        <w:t>manifestó</w:t>
      </w:r>
      <w:r w:rsidR="00D433D9">
        <w:rPr>
          <w:rFonts w:ascii="Palatino Linotype" w:hAnsi="Palatino Linotype" w:cs="Arial"/>
        </w:rPr>
        <w:t xml:space="preserve"> que </w:t>
      </w:r>
      <w:r w:rsidR="00952958">
        <w:rPr>
          <w:rFonts w:ascii="Palatino Linotype" w:hAnsi="Palatino Linotype" w:cs="Arial"/>
        </w:rPr>
        <w:t>la información requerida se encontraba en proceso de elaboración</w:t>
      </w:r>
      <w:r w:rsidR="002E1880">
        <w:rPr>
          <w:rFonts w:ascii="Palatino Linotype" w:hAnsi="Palatino Linotype" w:cs="Arial"/>
        </w:rPr>
        <w:t>, aunado a que só</w:t>
      </w:r>
      <w:r>
        <w:rPr>
          <w:rFonts w:ascii="Palatino Linotype" w:hAnsi="Palatino Linotype" w:cs="Arial"/>
        </w:rPr>
        <w:t>lo proporcionarán la información que se les requiera en el estado en el que ésta se encuentre, sin que ello comprenda el procesamiento de la misma</w:t>
      </w:r>
      <w:r w:rsidR="00F05AC0">
        <w:rPr>
          <w:rFonts w:ascii="Palatino Linotype" w:hAnsi="Palatino Linotype" w:cs="Arial"/>
        </w:rPr>
        <w:t>.</w:t>
      </w:r>
    </w:p>
    <w:p w:rsidR="0076436E" w:rsidRDefault="0076436E" w:rsidP="0076436E">
      <w:pPr>
        <w:spacing w:line="360" w:lineRule="auto"/>
        <w:jc w:val="both"/>
        <w:rPr>
          <w:rFonts w:ascii="Palatino Linotype" w:hAnsi="Palatino Linotype" w:cs="Arial"/>
        </w:rPr>
      </w:pPr>
    </w:p>
    <w:p w:rsidR="00C07B76" w:rsidRDefault="00746661" w:rsidP="0076436E">
      <w:pPr>
        <w:spacing w:line="360" w:lineRule="auto"/>
        <w:jc w:val="both"/>
        <w:rPr>
          <w:rFonts w:ascii="Palatino Linotype" w:hAnsi="Palatino Linotype" w:cs="Arial"/>
        </w:rPr>
      </w:pPr>
      <w:r w:rsidRPr="002E6BDD">
        <w:rPr>
          <w:rFonts w:ascii="Palatino Linotype" w:hAnsi="Palatino Linotype" w:cs="Arial"/>
        </w:rPr>
        <w:t xml:space="preserve">En ese sentido, </w:t>
      </w:r>
      <w:r w:rsidR="00F05AC0">
        <w:rPr>
          <w:rFonts w:ascii="Palatino Linotype" w:hAnsi="Palatino Linotype" w:cs="Arial"/>
          <w:b/>
        </w:rPr>
        <w:t>EL</w:t>
      </w:r>
      <w:r w:rsidRPr="002E6BDD">
        <w:rPr>
          <w:rFonts w:ascii="Palatino Linotype" w:hAnsi="Palatino Linotype" w:cs="Arial"/>
          <w:b/>
        </w:rPr>
        <w:t xml:space="preserve"> RECURRENTE</w:t>
      </w:r>
      <w:r w:rsidRPr="002E6BDD">
        <w:rPr>
          <w:rFonts w:ascii="Palatino Linotype" w:hAnsi="Palatino Linotype" w:cs="Arial"/>
        </w:rPr>
        <w:t xml:space="preserve"> inconforme con la respuesta otorgada por </w:t>
      </w:r>
      <w:r w:rsidRPr="002E6BDD">
        <w:rPr>
          <w:rFonts w:ascii="Palatino Linotype" w:hAnsi="Palatino Linotype" w:cs="Arial"/>
          <w:b/>
        </w:rPr>
        <w:t>EL SUJETO OBLIGADO,</w:t>
      </w:r>
      <w:r w:rsidRPr="002E6BDD">
        <w:rPr>
          <w:rFonts w:ascii="Palatino Linotype" w:hAnsi="Palatino Linotype" w:cs="Arial"/>
        </w:rPr>
        <w:t xml:space="preserve"> interpuso el recurso de revisión de mérito</w:t>
      </w:r>
      <w:r w:rsidR="002E522D">
        <w:rPr>
          <w:rFonts w:ascii="Palatino Linotype" w:hAnsi="Palatino Linotype" w:cs="Arial"/>
        </w:rPr>
        <w:t>, manifestando como acto impugnado “la respuesta realizada”.</w:t>
      </w:r>
    </w:p>
    <w:p w:rsidR="00C07B76" w:rsidRDefault="00C07B76" w:rsidP="0076436E">
      <w:pPr>
        <w:spacing w:line="360" w:lineRule="auto"/>
        <w:jc w:val="both"/>
        <w:rPr>
          <w:rFonts w:ascii="Palatino Linotype" w:hAnsi="Palatino Linotype" w:cs="Arial"/>
        </w:rPr>
      </w:pPr>
    </w:p>
    <w:p w:rsidR="00C07B76" w:rsidRDefault="00C07B76" w:rsidP="0076436E">
      <w:pPr>
        <w:spacing w:line="360" w:lineRule="auto"/>
        <w:jc w:val="both"/>
        <w:rPr>
          <w:rFonts w:ascii="Palatino Linotype" w:hAnsi="Palatino Linotype"/>
        </w:rPr>
      </w:pPr>
      <w:r>
        <w:rPr>
          <w:rFonts w:ascii="Palatino Linotype" w:hAnsi="Palatino Linotype" w:cs="Arial"/>
        </w:rPr>
        <w:t>En ese sentido</w:t>
      </w:r>
      <w:r w:rsidR="002E522D">
        <w:rPr>
          <w:rFonts w:ascii="Palatino Linotype" w:hAnsi="Palatino Linotype" w:cs="Arial"/>
        </w:rPr>
        <w:t>,</w:t>
      </w:r>
      <w:r>
        <w:rPr>
          <w:rFonts w:ascii="Palatino Linotype" w:hAnsi="Palatino Linotype" w:cs="Arial"/>
        </w:rPr>
        <w:t xml:space="preserve"> </w:t>
      </w:r>
      <w:r w:rsidRPr="00C07B76">
        <w:rPr>
          <w:rFonts w:ascii="Palatino Linotype" w:hAnsi="Palatino Linotype" w:cs="Arial"/>
          <w:b/>
        </w:rPr>
        <w:t>EL SUJETO OBLIGADO</w:t>
      </w:r>
      <w:r w:rsidR="005177A3">
        <w:rPr>
          <w:rFonts w:ascii="Palatino Linotype" w:hAnsi="Palatino Linotype" w:cs="Arial"/>
          <w:b/>
        </w:rPr>
        <w:t xml:space="preserve"> </w:t>
      </w:r>
      <w:r w:rsidR="002E522D">
        <w:rPr>
          <w:rFonts w:ascii="Palatino Linotype" w:hAnsi="Palatino Linotype" w:cs="Arial"/>
        </w:rPr>
        <w:t xml:space="preserve">a través del Informe Justificado </w:t>
      </w:r>
      <w:r w:rsidR="005177A3">
        <w:rPr>
          <w:rFonts w:ascii="Palatino Linotype" w:hAnsi="Palatino Linotype" w:cs="Arial"/>
        </w:rPr>
        <w:t xml:space="preserve">remitió </w:t>
      </w:r>
      <w:r w:rsidR="005177A3">
        <w:rPr>
          <w:rFonts w:ascii="Palatino Linotype" w:hAnsi="Palatino Linotype"/>
        </w:rPr>
        <w:t>el Tabulador de Sueldos para Servidoras y Servidores Públicos del Poder Judicial del Estado de México, documento que consta de 16 páginas, el cual se autorizó el diecinueve de junio de dos mil dieciocho, aplicabl</w:t>
      </w:r>
      <w:r w:rsidR="002E522D">
        <w:rPr>
          <w:rFonts w:ascii="Palatino Linotype" w:hAnsi="Palatino Linotype"/>
        </w:rPr>
        <w:t>e para el ejercicio fiscal 2018.</w:t>
      </w:r>
      <w:r w:rsidR="005177A3">
        <w:rPr>
          <w:rFonts w:ascii="Palatino Linotype" w:hAnsi="Palatino Linotype"/>
        </w:rPr>
        <w:t xml:space="preserve"> </w:t>
      </w:r>
      <w:r w:rsidR="002E1880">
        <w:rPr>
          <w:rFonts w:ascii="Palatino Linotype" w:hAnsi="Palatino Linotype"/>
        </w:rPr>
        <w:t xml:space="preserve">Así, </w:t>
      </w:r>
      <w:r w:rsidR="005177A3">
        <w:rPr>
          <w:rFonts w:ascii="Palatino Linotype" w:hAnsi="Palatino Linotype"/>
        </w:rPr>
        <w:t xml:space="preserve">cabe señalar que en </w:t>
      </w:r>
      <w:r w:rsidR="002E522D">
        <w:rPr>
          <w:rFonts w:ascii="Palatino Linotype" w:hAnsi="Palatino Linotype"/>
        </w:rPr>
        <w:t>dicho</w:t>
      </w:r>
      <w:r w:rsidR="005177A3">
        <w:rPr>
          <w:rFonts w:ascii="Palatino Linotype" w:hAnsi="Palatino Linotype"/>
        </w:rPr>
        <w:t xml:space="preserve"> documento se aprecia el</w:t>
      </w:r>
      <w:r w:rsidR="002E522D">
        <w:rPr>
          <w:rFonts w:ascii="Palatino Linotype" w:hAnsi="Palatino Linotype"/>
        </w:rPr>
        <w:t xml:space="preserve"> sueldo </w:t>
      </w:r>
      <w:r w:rsidR="002E1880">
        <w:rPr>
          <w:rFonts w:ascii="Palatino Linotype" w:hAnsi="Palatino Linotype"/>
        </w:rPr>
        <w:t>base, las percepciones integrada</w:t>
      </w:r>
      <w:r w:rsidR="002E522D">
        <w:rPr>
          <w:rFonts w:ascii="Palatino Linotype" w:hAnsi="Palatino Linotype"/>
        </w:rPr>
        <w:t>s por el sueldo base y gratificación</w:t>
      </w:r>
      <w:r w:rsidR="005177A3">
        <w:rPr>
          <w:rFonts w:ascii="Palatino Linotype" w:hAnsi="Palatino Linotype"/>
        </w:rPr>
        <w:t>, el total bruto, las deducciones que corre</w:t>
      </w:r>
      <w:r w:rsidR="00842BD4">
        <w:rPr>
          <w:rFonts w:ascii="Palatino Linotype" w:hAnsi="Palatino Linotype"/>
        </w:rPr>
        <w:t>sponde a</w:t>
      </w:r>
      <w:r w:rsidR="002E1880">
        <w:rPr>
          <w:rFonts w:ascii="Palatino Linotype" w:hAnsi="Palatino Linotype"/>
        </w:rPr>
        <w:t>l</w:t>
      </w:r>
      <w:r w:rsidR="00842BD4">
        <w:rPr>
          <w:rFonts w:ascii="Palatino Linotype" w:hAnsi="Palatino Linotype"/>
        </w:rPr>
        <w:t xml:space="preserve"> impuesto sobre la renta</w:t>
      </w:r>
      <w:r w:rsidR="005177A3">
        <w:rPr>
          <w:rFonts w:ascii="Palatino Linotype" w:hAnsi="Palatino Linotype"/>
        </w:rPr>
        <w:t xml:space="preserve"> e ISSEMYM y el total</w:t>
      </w:r>
      <w:r w:rsidR="002E522D">
        <w:rPr>
          <w:rFonts w:ascii="Palatino Linotype" w:hAnsi="Palatino Linotype"/>
        </w:rPr>
        <w:t xml:space="preserve"> neto de cada nivel y rango</w:t>
      </w:r>
      <w:r w:rsidR="005177A3">
        <w:rPr>
          <w:rFonts w:ascii="Palatino Linotype" w:hAnsi="Palatino Linotype"/>
        </w:rPr>
        <w:t>.</w:t>
      </w:r>
    </w:p>
    <w:p w:rsidR="005177A3" w:rsidRDefault="005177A3" w:rsidP="0076436E">
      <w:pPr>
        <w:spacing w:line="360" w:lineRule="auto"/>
        <w:jc w:val="both"/>
        <w:rPr>
          <w:rFonts w:ascii="Palatino Linotype" w:hAnsi="Palatino Linotype"/>
        </w:rPr>
      </w:pPr>
    </w:p>
    <w:p w:rsidR="005177A3" w:rsidRPr="00B10350" w:rsidRDefault="005177A3" w:rsidP="0076436E">
      <w:pPr>
        <w:spacing w:line="360" w:lineRule="auto"/>
        <w:jc w:val="both"/>
        <w:rPr>
          <w:rFonts w:ascii="Palatino Linotype" w:hAnsi="Palatino Linotype" w:cs="Arial"/>
        </w:rPr>
      </w:pPr>
      <w:r>
        <w:rPr>
          <w:rFonts w:ascii="Palatino Linotype" w:hAnsi="Palatino Linotype"/>
        </w:rPr>
        <w:t>Es así, que dentr</w:t>
      </w:r>
      <w:r w:rsidR="00B10350">
        <w:rPr>
          <w:rFonts w:ascii="Palatino Linotype" w:hAnsi="Palatino Linotype"/>
        </w:rPr>
        <w:t xml:space="preserve">o del expediente electrónico, se advierte que la parte </w:t>
      </w:r>
      <w:r w:rsidR="00B10350" w:rsidRPr="00B10350">
        <w:rPr>
          <w:rFonts w:ascii="Palatino Linotype" w:hAnsi="Palatino Linotype"/>
          <w:b/>
        </w:rPr>
        <w:t>RECURRENTE</w:t>
      </w:r>
      <w:r w:rsidR="00B10350">
        <w:rPr>
          <w:rFonts w:ascii="Palatino Linotype" w:hAnsi="Palatino Linotype"/>
          <w:b/>
        </w:rPr>
        <w:t xml:space="preserve"> </w:t>
      </w:r>
      <w:r w:rsidR="00842BD4">
        <w:rPr>
          <w:rFonts w:ascii="Palatino Linotype" w:hAnsi="Palatino Linotype"/>
        </w:rPr>
        <w:t>se desistió</w:t>
      </w:r>
      <w:r w:rsidR="00B10350">
        <w:rPr>
          <w:rFonts w:ascii="Palatino Linotype" w:hAnsi="Palatino Linotype"/>
        </w:rPr>
        <w:t xml:space="preserve"> del medio de impugnación que había presentado, manifestando que le habían proporcionado la información que estaba solicitando a través de Informe Justificado.</w:t>
      </w:r>
    </w:p>
    <w:p w:rsidR="0076436E" w:rsidRDefault="0076436E" w:rsidP="0076436E">
      <w:pPr>
        <w:spacing w:line="360" w:lineRule="auto"/>
        <w:jc w:val="both"/>
        <w:rPr>
          <w:rFonts w:ascii="Palatino Linotype" w:hAnsi="Palatino Linotype" w:cs="Arial"/>
        </w:rPr>
      </w:pPr>
    </w:p>
    <w:p w:rsidR="00F05AC0" w:rsidRDefault="00842BD4" w:rsidP="0076436E">
      <w:pPr>
        <w:spacing w:line="360" w:lineRule="auto"/>
        <w:jc w:val="both"/>
        <w:rPr>
          <w:rFonts w:ascii="Palatino Linotype" w:hAnsi="Palatino Linotype" w:cs="Arial"/>
          <w:b/>
        </w:rPr>
      </w:pPr>
      <w:r>
        <w:rPr>
          <w:rFonts w:ascii="Palatino Linotype" w:hAnsi="Palatino Linotype" w:cs="Arial"/>
        </w:rPr>
        <w:lastRenderedPageBreak/>
        <w:t>En ese contexto</w:t>
      </w:r>
      <w:r w:rsidR="00F05AC0" w:rsidRPr="00722925">
        <w:rPr>
          <w:rFonts w:ascii="Palatino Linotype" w:hAnsi="Palatino Linotype" w:cs="Arial"/>
        </w:rPr>
        <w:t>,</w:t>
      </w:r>
      <w:r w:rsidR="00F05AC0">
        <w:rPr>
          <w:rFonts w:ascii="Palatino Linotype" w:hAnsi="Palatino Linotype" w:cs="Arial"/>
        </w:rPr>
        <w:t xml:space="preserve"> </w:t>
      </w:r>
      <w:r w:rsidR="00F05AC0" w:rsidRPr="00722925">
        <w:rPr>
          <w:rFonts w:ascii="Palatino Linotype" w:hAnsi="Palatino Linotype" w:cs="Arial"/>
        </w:rPr>
        <w:t xml:space="preserve">la Ponencia </w:t>
      </w:r>
      <w:proofErr w:type="spellStart"/>
      <w:r w:rsidR="00F05AC0" w:rsidRPr="00722925">
        <w:rPr>
          <w:rFonts w:ascii="Palatino Linotype" w:hAnsi="Palatino Linotype" w:cs="Arial"/>
        </w:rPr>
        <w:t>Resolut</w:t>
      </w:r>
      <w:r w:rsidR="007735C0">
        <w:rPr>
          <w:rFonts w:ascii="Palatino Linotype" w:hAnsi="Palatino Linotype" w:cs="Arial"/>
        </w:rPr>
        <w:t>o</w:t>
      </w:r>
      <w:r w:rsidR="00F05AC0" w:rsidRPr="00722925">
        <w:rPr>
          <w:rFonts w:ascii="Palatino Linotype" w:hAnsi="Palatino Linotype" w:cs="Arial"/>
        </w:rPr>
        <w:t>ra</w:t>
      </w:r>
      <w:proofErr w:type="spellEnd"/>
      <w:r w:rsidR="00F05AC0" w:rsidRPr="00722925">
        <w:rPr>
          <w:rFonts w:ascii="Palatino Linotype" w:hAnsi="Palatino Linotype" w:cs="Arial"/>
        </w:rPr>
        <w:t xml:space="preserve"> determinó </w:t>
      </w:r>
      <w:r w:rsidR="00C07B76">
        <w:rPr>
          <w:rFonts w:ascii="Palatino Linotype" w:hAnsi="Palatino Linotype" w:cs="Arial"/>
          <w:b/>
        </w:rPr>
        <w:t>SOBRESEER</w:t>
      </w:r>
      <w:r w:rsidR="00F05AC0" w:rsidRPr="00722925">
        <w:rPr>
          <w:rFonts w:ascii="Palatino Linotype" w:hAnsi="Palatino Linotype" w:cs="Arial"/>
        </w:rPr>
        <w:t xml:space="preserve"> </w:t>
      </w:r>
      <w:r w:rsidR="00C07B76">
        <w:rPr>
          <w:rFonts w:ascii="Palatino Linotype" w:hAnsi="Palatino Linotype" w:cs="Arial"/>
        </w:rPr>
        <w:t>el recurso de revisión de m</w:t>
      </w:r>
      <w:r w:rsidR="00B10350">
        <w:rPr>
          <w:rFonts w:ascii="Palatino Linotype" w:hAnsi="Palatino Linotype" w:cs="Arial"/>
        </w:rPr>
        <w:t xml:space="preserve">érito en </w:t>
      </w:r>
      <w:r>
        <w:rPr>
          <w:rFonts w:ascii="Palatino Linotype" w:hAnsi="Palatino Linotype" w:cs="Arial"/>
        </w:rPr>
        <w:t>atención</w:t>
      </w:r>
      <w:r w:rsidR="00B10350">
        <w:rPr>
          <w:rFonts w:ascii="Palatino Linotype" w:hAnsi="Palatino Linotype" w:cs="Arial"/>
        </w:rPr>
        <w:t xml:space="preserve"> que </w:t>
      </w:r>
      <w:r w:rsidR="00B10350" w:rsidRPr="00B10350">
        <w:rPr>
          <w:rFonts w:ascii="Palatino Linotype" w:hAnsi="Palatino Linotype" w:cs="Arial"/>
          <w:b/>
        </w:rPr>
        <w:t>EL SUJETO OBLIGADO</w:t>
      </w:r>
      <w:r w:rsidR="00B10350">
        <w:rPr>
          <w:rFonts w:ascii="Palatino Linotype" w:hAnsi="Palatino Linotype" w:cs="Arial"/>
          <w:b/>
        </w:rPr>
        <w:t xml:space="preserve">, </w:t>
      </w:r>
      <w:r w:rsidR="00B10350">
        <w:rPr>
          <w:rFonts w:ascii="Palatino Linotype" w:hAnsi="Palatino Linotype" w:cs="Arial"/>
        </w:rPr>
        <w:t>por medio de Informe Justificado</w:t>
      </w:r>
      <w:r w:rsidR="007A7ADB">
        <w:rPr>
          <w:rFonts w:ascii="Palatino Linotype" w:hAnsi="Palatino Linotype" w:cs="Arial"/>
        </w:rPr>
        <w:t xml:space="preserve"> modificó la respuesta, satisfaciendo así el derecho de acceso a la información pública accionada por el particular</w:t>
      </w:r>
      <w:r w:rsidR="00F05AC0">
        <w:rPr>
          <w:rFonts w:ascii="Palatino Linotype" w:hAnsi="Palatino Linotype" w:cs="Arial"/>
          <w:b/>
        </w:rPr>
        <w:t>.</w:t>
      </w:r>
    </w:p>
    <w:p w:rsidR="0076436E" w:rsidRDefault="0076436E" w:rsidP="0076436E">
      <w:pPr>
        <w:spacing w:line="360" w:lineRule="auto"/>
        <w:jc w:val="both"/>
        <w:rPr>
          <w:rFonts w:ascii="Palatino Linotype" w:hAnsi="Palatino Linotype" w:cs="Arial"/>
          <w:b/>
        </w:rPr>
      </w:pPr>
    </w:p>
    <w:p w:rsidR="00F05AC0" w:rsidRDefault="00F05AC0" w:rsidP="0076436E">
      <w:pPr>
        <w:spacing w:line="360" w:lineRule="auto"/>
        <w:jc w:val="both"/>
        <w:rPr>
          <w:rFonts w:ascii="Palatino Linotype" w:hAnsi="Palatino Linotype"/>
        </w:rPr>
      </w:pPr>
      <w:r>
        <w:rPr>
          <w:rFonts w:ascii="Palatino Linotype" w:hAnsi="Palatino Linotype" w:cs="Arial"/>
        </w:rPr>
        <w:t xml:space="preserve">En ese sentido, </w:t>
      </w:r>
      <w:r w:rsidR="002E1880">
        <w:rPr>
          <w:rFonts w:ascii="Palatino Linotype" w:hAnsi="Palatino Linotype"/>
        </w:rPr>
        <w:t xml:space="preserve">si bien coincidimos </w:t>
      </w:r>
      <w:r>
        <w:rPr>
          <w:rFonts w:ascii="Palatino Linotype" w:hAnsi="Palatino Linotype"/>
        </w:rPr>
        <w:t>en t</w:t>
      </w:r>
      <w:r w:rsidR="00842BD4">
        <w:rPr>
          <w:rFonts w:ascii="Palatino Linotype" w:hAnsi="Palatino Linotype"/>
        </w:rPr>
        <w:t>érminos generales con el sentido</w:t>
      </w:r>
      <w:r>
        <w:rPr>
          <w:rFonts w:ascii="Palatino Linotype" w:hAnsi="Palatino Linotype"/>
        </w:rPr>
        <w:t xml:space="preserve"> de l</w:t>
      </w:r>
      <w:r w:rsidR="007A652C">
        <w:rPr>
          <w:rFonts w:ascii="Palatino Linotype" w:hAnsi="Palatino Linotype"/>
        </w:rPr>
        <w:t xml:space="preserve">a resolución en comento, diferimos respecto al análisis realizado por la Ponencia </w:t>
      </w:r>
      <w:proofErr w:type="spellStart"/>
      <w:r w:rsidR="007A652C">
        <w:rPr>
          <w:rFonts w:ascii="Palatino Linotype" w:hAnsi="Palatino Linotype"/>
        </w:rPr>
        <w:t>Resolutora</w:t>
      </w:r>
      <w:proofErr w:type="spellEnd"/>
      <w:r w:rsidR="007A652C">
        <w:rPr>
          <w:rFonts w:ascii="Palatino Linotype" w:hAnsi="Palatino Linotype"/>
        </w:rPr>
        <w:t>, por cuanto hace a</w:t>
      </w:r>
      <w:r w:rsidR="002E1880">
        <w:rPr>
          <w:rFonts w:ascii="Palatino Linotype" w:hAnsi="Palatino Linotype"/>
        </w:rPr>
        <w:t xml:space="preserve"> la causal para</w:t>
      </w:r>
      <w:r w:rsidR="007A652C">
        <w:rPr>
          <w:rFonts w:ascii="Palatino Linotype" w:hAnsi="Palatino Linotype"/>
        </w:rPr>
        <w:t xml:space="preserve"> so</w:t>
      </w:r>
      <w:r w:rsidR="002E1880">
        <w:rPr>
          <w:rFonts w:ascii="Palatino Linotype" w:hAnsi="Palatino Linotype"/>
        </w:rPr>
        <w:t>breseer el medio de impugnación</w:t>
      </w:r>
      <w:r w:rsidR="00F6054C">
        <w:rPr>
          <w:rFonts w:ascii="Palatino Linotype" w:hAnsi="Palatino Linotype"/>
        </w:rPr>
        <w:t>, de acuerdo con lo siguiente.</w:t>
      </w:r>
    </w:p>
    <w:p w:rsidR="0076436E" w:rsidRDefault="0076436E" w:rsidP="0076436E">
      <w:pPr>
        <w:spacing w:line="360" w:lineRule="auto"/>
        <w:jc w:val="both"/>
        <w:rPr>
          <w:rFonts w:ascii="Palatino Linotype" w:hAnsi="Palatino Linotype"/>
        </w:rPr>
      </w:pPr>
    </w:p>
    <w:p w:rsidR="00F05AC0" w:rsidRDefault="002E1880" w:rsidP="0076436E">
      <w:pPr>
        <w:spacing w:line="360" w:lineRule="auto"/>
        <w:jc w:val="both"/>
        <w:rPr>
          <w:rFonts w:ascii="Palatino Linotype" w:hAnsi="Palatino Linotype"/>
        </w:rPr>
      </w:pPr>
      <w:r>
        <w:rPr>
          <w:rFonts w:ascii="Palatino Linotype" w:hAnsi="Palatino Linotype"/>
        </w:rPr>
        <w:t>E</w:t>
      </w:r>
      <w:r w:rsidR="00F05AC0">
        <w:rPr>
          <w:rFonts w:ascii="Palatino Linotype" w:hAnsi="Palatino Linotype"/>
        </w:rPr>
        <w:t>s necesario precisar que</w:t>
      </w:r>
      <w:r>
        <w:rPr>
          <w:rFonts w:ascii="Palatino Linotype" w:hAnsi="Palatino Linotype"/>
        </w:rPr>
        <w:t>,</w:t>
      </w:r>
      <w:r w:rsidR="00F05AC0">
        <w:rPr>
          <w:rFonts w:ascii="Palatino Linotype" w:hAnsi="Palatino Linotype"/>
        </w:rPr>
        <w:t xml:space="preserve"> de conformidad con el artículo 186 de la </w:t>
      </w:r>
      <w:r w:rsidR="00F05AC0" w:rsidRPr="00B918F9">
        <w:rPr>
          <w:rFonts w:ascii="Palatino Linotype" w:hAnsi="Palatino Linotype" w:cs="Arial"/>
        </w:rPr>
        <w:t>Ley de Transparencia y Acceso a la Información Pública del Estado de México y Municipios</w:t>
      </w:r>
      <w:r w:rsidR="00F05AC0">
        <w:rPr>
          <w:rFonts w:ascii="Palatino Linotype" w:hAnsi="Palatino Linotype" w:cs="Arial"/>
        </w:rPr>
        <w:t>,</w:t>
      </w:r>
      <w:r w:rsidR="00F05AC0">
        <w:rPr>
          <w:rFonts w:ascii="Palatino Linotype" w:hAnsi="Palatino Linotype"/>
        </w:rPr>
        <w:t xml:space="preserve"> las Resoluciones emitidas por este Órgano Garante podrán:</w:t>
      </w:r>
    </w:p>
    <w:p w:rsidR="0076436E" w:rsidRDefault="0076436E" w:rsidP="0076436E">
      <w:pPr>
        <w:spacing w:line="360" w:lineRule="auto"/>
        <w:jc w:val="both"/>
        <w:rPr>
          <w:rFonts w:ascii="Palatino Linotype" w:hAnsi="Palatino Linotype"/>
        </w:rPr>
      </w:pPr>
    </w:p>
    <w:p w:rsidR="00F05AC0" w:rsidRPr="00F05AC0" w:rsidRDefault="00F05AC0" w:rsidP="0076436E">
      <w:pPr>
        <w:pStyle w:val="Prrafodelista"/>
        <w:numPr>
          <w:ilvl w:val="0"/>
          <w:numId w:val="1"/>
        </w:numPr>
        <w:spacing w:line="360" w:lineRule="auto"/>
        <w:jc w:val="both"/>
        <w:rPr>
          <w:rFonts w:ascii="Palatino Linotype" w:hAnsi="Palatino Linotype"/>
          <w:b/>
          <w:u w:val="single"/>
        </w:rPr>
      </w:pPr>
      <w:r w:rsidRPr="007A652C">
        <w:rPr>
          <w:rFonts w:ascii="Palatino Linotype" w:hAnsi="Palatino Linotype"/>
          <w:u w:val="single"/>
        </w:rPr>
        <w:t>Desechar o</w:t>
      </w:r>
      <w:r w:rsidRPr="00F05AC0">
        <w:rPr>
          <w:rFonts w:ascii="Palatino Linotype" w:hAnsi="Palatino Linotype"/>
          <w:b/>
          <w:u w:val="single"/>
        </w:rPr>
        <w:t xml:space="preserve"> sobreseer el recurso; </w:t>
      </w:r>
    </w:p>
    <w:p w:rsidR="00F05AC0" w:rsidRPr="007A7ADB" w:rsidRDefault="00F05AC0" w:rsidP="0076436E">
      <w:pPr>
        <w:pStyle w:val="Prrafodelista"/>
        <w:numPr>
          <w:ilvl w:val="0"/>
          <w:numId w:val="1"/>
        </w:numPr>
        <w:spacing w:line="360" w:lineRule="auto"/>
        <w:jc w:val="both"/>
        <w:rPr>
          <w:rFonts w:ascii="Palatino Linotype" w:hAnsi="Palatino Linotype"/>
        </w:rPr>
      </w:pPr>
      <w:r w:rsidRPr="007A7ADB">
        <w:rPr>
          <w:rFonts w:ascii="Palatino Linotype" w:hAnsi="Palatino Linotype"/>
        </w:rPr>
        <w:t xml:space="preserve">Confirmar la respuesta del sujeto obligado; </w:t>
      </w:r>
    </w:p>
    <w:p w:rsidR="00F05AC0" w:rsidRPr="00274EF7" w:rsidRDefault="00F05AC0" w:rsidP="0076436E">
      <w:pPr>
        <w:pStyle w:val="Prrafodelista"/>
        <w:numPr>
          <w:ilvl w:val="0"/>
          <w:numId w:val="1"/>
        </w:numPr>
        <w:spacing w:line="360" w:lineRule="auto"/>
        <w:jc w:val="both"/>
        <w:rPr>
          <w:rFonts w:ascii="Palatino Linotype" w:hAnsi="Palatino Linotype"/>
        </w:rPr>
      </w:pPr>
      <w:r w:rsidRPr="00F05AC0">
        <w:rPr>
          <w:rFonts w:ascii="Palatino Linotype" w:hAnsi="Palatino Linotype"/>
        </w:rPr>
        <w:t>Revocar o modificar la respuesta del sujeto obligado</w:t>
      </w:r>
      <w:r w:rsidRPr="00274EF7">
        <w:rPr>
          <w:rFonts w:ascii="Palatino Linotype" w:hAnsi="Palatino Linotype"/>
        </w:rPr>
        <w:t xml:space="preserve">; y </w:t>
      </w:r>
    </w:p>
    <w:p w:rsidR="00F05AC0" w:rsidRDefault="00F05AC0" w:rsidP="0076436E">
      <w:pPr>
        <w:pStyle w:val="Prrafodelista"/>
        <w:numPr>
          <w:ilvl w:val="0"/>
          <w:numId w:val="1"/>
        </w:numPr>
        <w:spacing w:line="360" w:lineRule="auto"/>
        <w:jc w:val="both"/>
        <w:rPr>
          <w:rFonts w:ascii="Palatino Linotype" w:hAnsi="Palatino Linotype"/>
        </w:rPr>
      </w:pPr>
      <w:r w:rsidRPr="00274EF7">
        <w:rPr>
          <w:rFonts w:ascii="Palatino Linotype" w:hAnsi="Palatino Linotype"/>
        </w:rPr>
        <w:t>Ordenar la entrega de la información.</w:t>
      </w:r>
    </w:p>
    <w:p w:rsidR="004555CD" w:rsidRPr="004555CD" w:rsidRDefault="004555CD" w:rsidP="004555CD">
      <w:pPr>
        <w:spacing w:line="360" w:lineRule="auto"/>
        <w:jc w:val="both"/>
        <w:rPr>
          <w:rFonts w:ascii="Palatino Linotype" w:hAnsi="Palatino Linotype"/>
        </w:rPr>
      </w:pPr>
    </w:p>
    <w:p w:rsidR="00F05AC0" w:rsidRDefault="00F05AC0" w:rsidP="0076436E">
      <w:pPr>
        <w:spacing w:line="360" w:lineRule="auto"/>
        <w:jc w:val="both"/>
        <w:rPr>
          <w:rFonts w:ascii="Palatino Linotype" w:hAnsi="Palatino Linotype"/>
        </w:rPr>
      </w:pPr>
      <w:r>
        <w:rPr>
          <w:rFonts w:ascii="Palatino Linotype" w:hAnsi="Palatino Linotype"/>
        </w:rPr>
        <w:t>En el caso part</w:t>
      </w:r>
      <w:r w:rsidR="007A7ADB">
        <w:rPr>
          <w:rFonts w:ascii="Palatino Linotype" w:hAnsi="Palatino Linotype"/>
        </w:rPr>
        <w:t xml:space="preserve">icular de la fracción I </w:t>
      </w:r>
      <w:r>
        <w:rPr>
          <w:rFonts w:ascii="Palatino Linotype" w:hAnsi="Palatino Linotype"/>
        </w:rPr>
        <w:t xml:space="preserve"> se procede a </w:t>
      </w:r>
      <w:r>
        <w:rPr>
          <w:rFonts w:ascii="Palatino Linotype" w:hAnsi="Palatino Linotype"/>
          <w:b/>
        </w:rPr>
        <w:t>SOBRESEE</w:t>
      </w:r>
      <w:r w:rsidR="007A7ADB">
        <w:rPr>
          <w:rFonts w:ascii="Palatino Linotype" w:hAnsi="Palatino Linotype"/>
          <w:b/>
        </w:rPr>
        <w:t>R</w:t>
      </w:r>
      <w:r>
        <w:rPr>
          <w:rFonts w:ascii="Palatino Linotype" w:hAnsi="Palatino Linotype"/>
        </w:rPr>
        <w:t xml:space="preserve"> el recurso de revisión cuando una vez admitido se actualice alguno de los supuestos previstos en el numeral 192 de la Ley de la materia</w:t>
      </w:r>
      <w:r w:rsidR="00974DDF">
        <w:rPr>
          <w:rFonts w:ascii="Palatino Linotype" w:hAnsi="Palatino Linotype"/>
        </w:rPr>
        <w:t>.</w:t>
      </w:r>
    </w:p>
    <w:p w:rsidR="0076436E" w:rsidRDefault="0076436E" w:rsidP="0076436E">
      <w:pPr>
        <w:spacing w:line="360" w:lineRule="auto"/>
        <w:jc w:val="both"/>
        <w:rPr>
          <w:rFonts w:ascii="Palatino Linotype" w:hAnsi="Palatino Linotype"/>
        </w:rPr>
      </w:pPr>
    </w:p>
    <w:p w:rsidR="00974DDF" w:rsidRDefault="00F05AC0" w:rsidP="0076436E">
      <w:pPr>
        <w:spacing w:line="360" w:lineRule="auto"/>
        <w:jc w:val="both"/>
        <w:rPr>
          <w:rFonts w:ascii="Palatino Linotype" w:hAnsi="Palatino Linotype"/>
        </w:rPr>
      </w:pPr>
      <w:r>
        <w:rPr>
          <w:rFonts w:ascii="Palatino Linotype" w:hAnsi="Palatino Linotype"/>
        </w:rPr>
        <w:t xml:space="preserve">Así, en el presente caso, la Ponencia </w:t>
      </w:r>
      <w:proofErr w:type="spellStart"/>
      <w:r>
        <w:rPr>
          <w:rFonts w:ascii="Palatino Linotype" w:hAnsi="Palatino Linotype"/>
        </w:rPr>
        <w:t>Resolutora</w:t>
      </w:r>
      <w:proofErr w:type="spellEnd"/>
      <w:r>
        <w:rPr>
          <w:rFonts w:ascii="Palatino Linotype" w:hAnsi="Palatino Linotype"/>
        </w:rPr>
        <w:t xml:space="preserve"> determinó </w:t>
      </w:r>
      <w:r w:rsidR="007A7ADB">
        <w:rPr>
          <w:rFonts w:ascii="Palatino Linotype" w:hAnsi="Palatino Linotype"/>
          <w:b/>
        </w:rPr>
        <w:t>SOBRESEER</w:t>
      </w:r>
      <w:r>
        <w:rPr>
          <w:rFonts w:ascii="Palatino Linotype" w:hAnsi="Palatino Linotype"/>
          <w:b/>
        </w:rPr>
        <w:t xml:space="preserve"> </w:t>
      </w:r>
      <w:r w:rsidR="007A7ADB">
        <w:rPr>
          <w:rFonts w:ascii="Palatino Linotype" w:hAnsi="Palatino Linotype"/>
        </w:rPr>
        <w:t xml:space="preserve">el recurso de revisión de mérito, actualizando la fracción III del artículo 192 de la Ley de la </w:t>
      </w:r>
      <w:r w:rsidR="007822D3">
        <w:rPr>
          <w:rFonts w:ascii="Palatino Linotype" w:hAnsi="Palatino Linotype"/>
        </w:rPr>
        <w:t>materia</w:t>
      </w:r>
      <w:r w:rsidR="00CA6CC6">
        <w:rPr>
          <w:rFonts w:ascii="Palatino Linotype" w:hAnsi="Palatino Linotype"/>
          <w:b/>
        </w:rPr>
        <w:t xml:space="preserve">; </w:t>
      </w:r>
      <w:r w:rsidR="00CA6CC6" w:rsidRPr="00CA6CC6">
        <w:rPr>
          <w:rFonts w:ascii="Palatino Linotype" w:hAnsi="Palatino Linotype"/>
        </w:rPr>
        <w:t>sin embargo</w:t>
      </w:r>
      <w:r w:rsidR="00377D75">
        <w:rPr>
          <w:rFonts w:ascii="Palatino Linotype" w:hAnsi="Palatino Linotype"/>
        </w:rPr>
        <w:t>,</w:t>
      </w:r>
      <w:r w:rsidR="007A7ADB">
        <w:rPr>
          <w:rFonts w:ascii="Palatino Linotype" w:hAnsi="Palatino Linotype"/>
        </w:rPr>
        <w:t xml:space="preserve"> a criterio de los</w:t>
      </w:r>
      <w:r>
        <w:rPr>
          <w:rFonts w:ascii="Palatino Linotype" w:hAnsi="Palatino Linotype"/>
        </w:rPr>
        <w:t xml:space="preserve"> que suscribe</w:t>
      </w:r>
      <w:r w:rsidR="007A7ADB">
        <w:rPr>
          <w:rFonts w:ascii="Palatino Linotype" w:hAnsi="Palatino Linotype"/>
        </w:rPr>
        <w:t>n</w:t>
      </w:r>
      <w:r w:rsidR="00492DAF">
        <w:rPr>
          <w:rFonts w:ascii="Palatino Linotype" w:hAnsi="Palatino Linotype"/>
        </w:rPr>
        <w:t>,</w:t>
      </w:r>
      <w:r>
        <w:rPr>
          <w:rFonts w:ascii="Palatino Linotype" w:hAnsi="Palatino Linotype"/>
        </w:rPr>
        <w:t xml:space="preserve"> </w:t>
      </w:r>
      <w:r w:rsidR="007A7ADB">
        <w:rPr>
          <w:rFonts w:ascii="Palatino Linotype" w:hAnsi="Palatino Linotype"/>
        </w:rPr>
        <w:t>no se actualizaba dicha fracción, en raz</w:t>
      </w:r>
      <w:r w:rsidR="00CA6CC6">
        <w:rPr>
          <w:rFonts w:ascii="Palatino Linotype" w:hAnsi="Palatino Linotype"/>
        </w:rPr>
        <w:t xml:space="preserve">ón </w:t>
      </w:r>
      <w:r w:rsidR="007822D3">
        <w:rPr>
          <w:rFonts w:ascii="Palatino Linotype" w:hAnsi="Palatino Linotype"/>
        </w:rPr>
        <w:t xml:space="preserve"> que dentro</w:t>
      </w:r>
      <w:r w:rsidR="007A7ADB">
        <w:rPr>
          <w:rFonts w:ascii="Palatino Linotype" w:hAnsi="Palatino Linotype"/>
        </w:rPr>
        <w:t xml:space="preserve"> </w:t>
      </w:r>
      <w:r w:rsidR="007822D3">
        <w:rPr>
          <w:rFonts w:ascii="Palatino Linotype" w:hAnsi="Palatino Linotype"/>
        </w:rPr>
        <w:t>d</w:t>
      </w:r>
      <w:r w:rsidR="007A7ADB">
        <w:rPr>
          <w:rFonts w:ascii="Palatino Linotype" w:hAnsi="Palatino Linotype"/>
        </w:rPr>
        <w:t xml:space="preserve">el expediente electrónico </w:t>
      </w:r>
      <w:r w:rsidR="007822D3">
        <w:rPr>
          <w:rFonts w:ascii="Palatino Linotype" w:hAnsi="Palatino Linotype"/>
        </w:rPr>
        <w:t>se advierte el desistimiento por parte del particular.</w:t>
      </w:r>
    </w:p>
    <w:p w:rsidR="0076436E" w:rsidRPr="00974DDF" w:rsidRDefault="0076436E" w:rsidP="0076436E">
      <w:pPr>
        <w:spacing w:line="360" w:lineRule="auto"/>
        <w:jc w:val="both"/>
        <w:rPr>
          <w:rFonts w:ascii="Palatino Linotype" w:hAnsi="Palatino Linotype"/>
          <w:b/>
        </w:rPr>
      </w:pPr>
    </w:p>
    <w:p w:rsidR="00AC7263" w:rsidRDefault="00C353B4" w:rsidP="0076436E">
      <w:pPr>
        <w:spacing w:line="360" w:lineRule="auto"/>
        <w:jc w:val="both"/>
        <w:rPr>
          <w:rFonts w:ascii="Palatino Linotype" w:hAnsi="Palatino Linotype" w:cs="Arial"/>
        </w:rPr>
      </w:pPr>
      <w:r>
        <w:rPr>
          <w:rFonts w:ascii="Palatino Linotype" w:hAnsi="Palatino Linotype"/>
        </w:rPr>
        <w:t xml:space="preserve">Lo anterior, resulta aún </w:t>
      </w:r>
      <w:r w:rsidR="008D6B67">
        <w:rPr>
          <w:rFonts w:ascii="Palatino Linotype" w:hAnsi="Palatino Linotype"/>
        </w:rPr>
        <w:t xml:space="preserve">más evidente ya que </w:t>
      </w:r>
      <w:r w:rsidR="007822D3">
        <w:rPr>
          <w:rFonts w:ascii="Palatino Linotype" w:hAnsi="Palatino Linotype"/>
        </w:rPr>
        <w:t xml:space="preserve">dentro del desistimiento del </w:t>
      </w:r>
      <w:r w:rsidR="007822D3" w:rsidRPr="007822D3">
        <w:rPr>
          <w:rFonts w:ascii="Palatino Linotype" w:hAnsi="Palatino Linotype"/>
          <w:b/>
        </w:rPr>
        <w:t>RECURRENTE</w:t>
      </w:r>
      <w:r w:rsidR="007822D3">
        <w:rPr>
          <w:rFonts w:ascii="Palatino Linotype" w:hAnsi="Palatino Linotype" w:cs="Arial"/>
        </w:rPr>
        <w:t xml:space="preserve">, manifiesta que la respuesta ya le había sido entregada, pero que no obstante a lo anterior se debía dar vista a la Contraloría, toda vez que la información requerida debe obrar dentro del portal electrónico del </w:t>
      </w:r>
      <w:r w:rsidR="007822D3">
        <w:rPr>
          <w:rFonts w:ascii="Palatino Linotype" w:hAnsi="Palatino Linotype" w:cs="Arial"/>
          <w:b/>
        </w:rPr>
        <w:t>SU</w:t>
      </w:r>
      <w:r w:rsidR="007822D3" w:rsidRPr="007822D3">
        <w:rPr>
          <w:rFonts w:ascii="Palatino Linotype" w:hAnsi="Palatino Linotype" w:cs="Arial"/>
          <w:b/>
        </w:rPr>
        <w:t>J</w:t>
      </w:r>
      <w:r w:rsidR="007822D3">
        <w:rPr>
          <w:rFonts w:ascii="Palatino Linotype" w:hAnsi="Palatino Linotype" w:cs="Arial"/>
          <w:b/>
        </w:rPr>
        <w:t>E</w:t>
      </w:r>
      <w:r w:rsidR="007822D3" w:rsidRPr="007822D3">
        <w:rPr>
          <w:rFonts w:ascii="Palatino Linotype" w:hAnsi="Palatino Linotype" w:cs="Arial"/>
          <w:b/>
        </w:rPr>
        <w:t>TO OBLIGADO</w:t>
      </w:r>
      <w:r w:rsidR="007A652C">
        <w:rPr>
          <w:rFonts w:ascii="Palatino Linotype" w:hAnsi="Palatino Linotype" w:cs="Arial"/>
          <w:b/>
        </w:rPr>
        <w:t>;</w:t>
      </w:r>
      <w:r w:rsidR="00BD626F">
        <w:rPr>
          <w:rFonts w:ascii="Palatino Linotype" w:hAnsi="Palatino Linotype" w:cs="Arial"/>
        </w:rPr>
        <w:t xml:space="preserve"> en ese sentido</w:t>
      </w:r>
      <w:r w:rsidR="007A652C">
        <w:rPr>
          <w:rFonts w:ascii="Palatino Linotype" w:hAnsi="Palatino Linotype" w:cs="Arial"/>
        </w:rPr>
        <w:t>,</w:t>
      </w:r>
      <w:r w:rsidR="00BD626F">
        <w:rPr>
          <w:rFonts w:ascii="Palatino Linotype" w:hAnsi="Palatino Linotype" w:cs="Arial"/>
        </w:rPr>
        <w:t xml:space="preserve"> se debió </w:t>
      </w:r>
      <w:r w:rsidR="00BD626F" w:rsidRPr="007A11A6">
        <w:rPr>
          <w:rFonts w:ascii="Palatino Linotype" w:hAnsi="Palatino Linotype" w:cs="Arial"/>
          <w:b/>
        </w:rPr>
        <w:t>sobreseer</w:t>
      </w:r>
      <w:r w:rsidR="00BD626F">
        <w:rPr>
          <w:rFonts w:ascii="Palatino Linotype" w:hAnsi="Palatino Linotype" w:cs="Arial"/>
        </w:rPr>
        <w:t xml:space="preserve"> </w:t>
      </w:r>
      <w:r w:rsidR="007A11A6">
        <w:rPr>
          <w:rFonts w:ascii="Palatino Linotype" w:hAnsi="Palatino Linotype" w:cs="Arial"/>
        </w:rPr>
        <w:t xml:space="preserve">el recurso de revisión </w:t>
      </w:r>
      <w:r w:rsidR="007A11A6" w:rsidRPr="002E6BDD">
        <w:rPr>
          <w:rFonts w:ascii="Palatino Linotype" w:hAnsi="Palatino Linotype" w:cs="Arial"/>
        </w:rPr>
        <w:t>con fundamen</w:t>
      </w:r>
      <w:r w:rsidR="007A11A6">
        <w:rPr>
          <w:rFonts w:ascii="Palatino Linotype" w:hAnsi="Palatino Linotype" w:cs="Arial"/>
        </w:rPr>
        <w:t>to en el artículo 192</w:t>
      </w:r>
      <w:r w:rsidR="007A652C">
        <w:rPr>
          <w:rFonts w:ascii="Palatino Linotype" w:hAnsi="Palatino Linotype" w:cs="Arial"/>
        </w:rPr>
        <w:t>,</w:t>
      </w:r>
      <w:r w:rsidR="007A11A6">
        <w:rPr>
          <w:rFonts w:ascii="Palatino Linotype" w:hAnsi="Palatino Linotype" w:cs="Arial"/>
        </w:rPr>
        <w:t xml:space="preserve"> fracción </w:t>
      </w:r>
      <w:r w:rsidR="007822D3">
        <w:rPr>
          <w:rFonts w:ascii="Palatino Linotype" w:hAnsi="Palatino Linotype" w:cs="Arial"/>
        </w:rPr>
        <w:t>I</w:t>
      </w:r>
      <w:r w:rsidR="007A11A6" w:rsidRPr="002E6BDD">
        <w:rPr>
          <w:rFonts w:ascii="Palatino Linotype" w:hAnsi="Palatino Linotype" w:cs="Arial"/>
        </w:rPr>
        <w:t xml:space="preserve"> de la Ley de Transparencia y Acceso a la Información Pública de</w:t>
      </w:r>
      <w:r w:rsidR="007822D3">
        <w:rPr>
          <w:rFonts w:ascii="Palatino Linotype" w:hAnsi="Palatino Linotype" w:cs="Arial"/>
        </w:rPr>
        <w:t xml:space="preserve">l Estado de México y Municipios, ya que se actualiza un desistimiento expreso por parte del </w:t>
      </w:r>
      <w:r w:rsidR="007822D3" w:rsidRPr="007822D3">
        <w:rPr>
          <w:rFonts w:ascii="Palatino Linotype" w:hAnsi="Palatino Linotype" w:cs="Arial"/>
          <w:b/>
        </w:rPr>
        <w:t>RECURRENTE</w:t>
      </w:r>
      <w:r w:rsidR="007822D3">
        <w:rPr>
          <w:rFonts w:ascii="Palatino Linotype" w:hAnsi="Palatino Linotype" w:cs="Arial"/>
          <w:b/>
        </w:rPr>
        <w:t>,</w:t>
      </w:r>
      <w:r w:rsidR="00CA6CC6">
        <w:rPr>
          <w:rFonts w:ascii="Palatino Linotype" w:hAnsi="Palatino Linotype" w:cs="Arial"/>
          <w:b/>
        </w:rPr>
        <w:t xml:space="preserve"> </w:t>
      </w:r>
      <w:r w:rsidR="00CA6CC6" w:rsidRPr="00CA6CC6">
        <w:rPr>
          <w:rFonts w:ascii="Palatino Linotype" w:hAnsi="Palatino Linotype" w:cs="Arial"/>
        </w:rPr>
        <w:t xml:space="preserve">lo que </w:t>
      </w:r>
      <w:r w:rsidR="00CA6CC6">
        <w:rPr>
          <w:rFonts w:ascii="Palatino Linotype" w:hAnsi="Palatino Linotype" w:cs="Arial"/>
        </w:rPr>
        <w:t>conlleva a</w:t>
      </w:r>
      <w:r w:rsidR="00CA6CC6" w:rsidRPr="00CA6CC6">
        <w:rPr>
          <w:rFonts w:ascii="Palatino Linotype" w:hAnsi="Palatino Linotype" w:cs="Arial"/>
        </w:rPr>
        <w:t xml:space="preserve"> que no existe la</w:t>
      </w:r>
      <w:r w:rsidR="007A652C" w:rsidRPr="00CA6CC6">
        <w:rPr>
          <w:rFonts w:ascii="Palatino Linotype" w:hAnsi="Palatino Linotype" w:cs="Arial"/>
        </w:rPr>
        <w:t xml:space="preserve"> </w:t>
      </w:r>
      <w:r w:rsidR="007A652C">
        <w:rPr>
          <w:rFonts w:ascii="Palatino Linotype" w:hAnsi="Palatino Linotype" w:cs="Arial"/>
        </w:rPr>
        <w:t xml:space="preserve">necesidad de examinar </w:t>
      </w:r>
      <w:r w:rsidR="00CA6CC6">
        <w:rPr>
          <w:rFonts w:ascii="Palatino Linotype" w:hAnsi="Palatino Linotype" w:cs="Arial"/>
        </w:rPr>
        <w:t>las razones o motivos de inconformidad plasmados por el particular. En ese sentido, sirve de sustento a lo anterior por analogía la jurisprudencia con número de registro 2012059, misma que indica lo siguiente:</w:t>
      </w:r>
    </w:p>
    <w:p w:rsidR="000223F9" w:rsidRDefault="000223F9" w:rsidP="0076436E">
      <w:pPr>
        <w:spacing w:line="360" w:lineRule="auto"/>
        <w:jc w:val="both"/>
        <w:rPr>
          <w:rFonts w:ascii="Palatino Linotype" w:hAnsi="Palatino Linotype" w:cs="Arial"/>
        </w:rPr>
      </w:pPr>
    </w:p>
    <w:p w:rsidR="000223F9" w:rsidRPr="000223F9" w:rsidRDefault="000223F9" w:rsidP="000223F9">
      <w:pPr>
        <w:ind w:left="851" w:right="757"/>
        <w:jc w:val="both"/>
        <w:rPr>
          <w:rFonts w:ascii="Palatino Linotype" w:hAnsi="Palatino Linotype"/>
          <w:b/>
          <w:bCs/>
          <w:i/>
          <w:color w:val="000000"/>
          <w:sz w:val="22"/>
          <w:szCs w:val="22"/>
          <w:lang w:eastAsia="es-MX"/>
        </w:rPr>
      </w:pPr>
      <w:r w:rsidRPr="000223F9">
        <w:rPr>
          <w:rFonts w:ascii="Palatino Linotype" w:hAnsi="Palatino Linotype"/>
          <w:b/>
          <w:bCs/>
          <w:i/>
          <w:color w:val="000000"/>
          <w:sz w:val="22"/>
          <w:szCs w:val="22"/>
          <w:lang w:eastAsia="es-MX"/>
        </w:rPr>
        <w:t>DESISTIMIENTO DE LA ACCIÓN DE AMPARO. SUS CONSECUENCIAS.</w:t>
      </w:r>
    </w:p>
    <w:p w:rsidR="000223F9" w:rsidRPr="000223F9" w:rsidRDefault="000223F9" w:rsidP="000223F9">
      <w:pPr>
        <w:ind w:left="851" w:right="757"/>
        <w:jc w:val="both"/>
        <w:rPr>
          <w:rFonts w:ascii="Palatino Linotype" w:hAnsi="Palatino Linotype"/>
          <w:i/>
          <w:sz w:val="22"/>
          <w:szCs w:val="22"/>
          <w:lang w:eastAsia="es-MX"/>
        </w:rPr>
      </w:pPr>
      <w:r w:rsidRPr="000223F9">
        <w:rPr>
          <w:rFonts w:ascii="Palatino Linotype" w:hAnsi="Palatino Linotype"/>
          <w:i/>
          <w:sz w:val="22"/>
          <w:szCs w:val="22"/>
          <w:lang w:eastAsia="es-MX"/>
        </w:rPr>
        <w:t>El desistimiento de la acción de amparo consiste en la declaración de voluntad del quejoso de no proseguir con el juicio, el cual, debidamente ratificado, conlleva emitir una resolución con la que finaliza la instancia de amparo, independientemente de la etapa en que se encuentre (desde el inicio del juicio hasta antes de que cause ejecutoria la sentencia que se dicte) y sin necesidad de examinar los conceptos de violación o, en su caso, los agravios.</w:t>
      </w:r>
    </w:p>
    <w:p w:rsidR="000223F9" w:rsidRPr="000223F9" w:rsidRDefault="000223F9" w:rsidP="000223F9">
      <w:pPr>
        <w:ind w:left="851" w:right="757"/>
        <w:rPr>
          <w:rFonts w:ascii="Palatino Linotype" w:hAnsi="Palatino Linotype"/>
          <w:i/>
          <w:sz w:val="22"/>
          <w:szCs w:val="22"/>
          <w:lang w:eastAsia="es-MX"/>
        </w:rPr>
      </w:pPr>
      <w:r w:rsidRPr="000223F9">
        <w:rPr>
          <w:rFonts w:ascii="Palatino Linotype" w:hAnsi="Palatino Linotype"/>
          <w:i/>
          <w:sz w:val="22"/>
          <w:szCs w:val="22"/>
          <w:lang w:eastAsia="es-MX"/>
        </w:rPr>
        <w:br/>
      </w:r>
    </w:p>
    <w:p w:rsidR="000223F9" w:rsidRPr="000223F9" w:rsidRDefault="000223F9" w:rsidP="000223F9">
      <w:pPr>
        <w:ind w:left="851" w:right="757"/>
        <w:rPr>
          <w:rFonts w:ascii="Palatino Linotype" w:hAnsi="Palatino Linotype"/>
          <w:i/>
          <w:sz w:val="22"/>
          <w:szCs w:val="22"/>
          <w:lang w:eastAsia="es-MX"/>
        </w:rPr>
      </w:pPr>
      <w:r w:rsidRPr="000223F9">
        <w:rPr>
          <w:rFonts w:ascii="Palatino Linotype" w:hAnsi="Palatino Linotype"/>
          <w:i/>
          <w:sz w:val="22"/>
          <w:szCs w:val="22"/>
          <w:lang w:eastAsia="es-MX"/>
        </w:rPr>
        <w:br/>
      </w:r>
    </w:p>
    <w:p w:rsidR="000223F9" w:rsidRPr="000223F9" w:rsidRDefault="000223F9" w:rsidP="000223F9">
      <w:pPr>
        <w:ind w:left="851" w:right="757"/>
        <w:jc w:val="both"/>
        <w:rPr>
          <w:rFonts w:ascii="Palatino Linotype" w:hAnsi="Palatino Linotype"/>
          <w:i/>
          <w:sz w:val="22"/>
          <w:szCs w:val="22"/>
          <w:lang w:eastAsia="es-MX"/>
        </w:rPr>
      </w:pPr>
      <w:r w:rsidRPr="000223F9">
        <w:rPr>
          <w:rFonts w:ascii="Palatino Linotype" w:hAnsi="Palatino Linotype"/>
          <w:i/>
          <w:sz w:val="22"/>
          <w:szCs w:val="22"/>
          <w:lang w:eastAsia="es-MX"/>
        </w:rPr>
        <w:t xml:space="preserve">Amparo directo 41/2014. Asociación Sindical de Sobrecargos de Aviación de México (A.S.S.A.). 30 de octubre de 2014. Unanimidad de cuatro votos de los Ministros Alberto Pérez </w:t>
      </w:r>
      <w:proofErr w:type="spellStart"/>
      <w:r w:rsidRPr="000223F9">
        <w:rPr>
          <w:rFonts w:ascii="Palatino Linotype" w:hAnsi="Palatino Linotype"/>
          <w:i/>
          <w:sz w:val="22"/>
          <w:szCs w:val="22"/>
          <w:lang w:eastAsia="es-MX"/>
        </w:rPr>
        <w:t>Dayán</w:t>
      </w:r>
      <w:proofErr w:type="spellEnd"/>
      <w:r w:rsidRPr="000223F9">
        <w:rPr>
          <w:rFonts w:ascii="Palatino Linotype" w:hAnsi="Palatino Linotype"/>
          <w:i/>
          <w:sz w:val="22"/>
          <w:szCs w:val="22"/>
          <w:lang w:eastAsia="es-MX"/>
        </w:rPr>
        <w:t xml:space="preserve">, José Fernando Franco González Salas, Margarita Beatriz Luna Ramos y Luis María Aguilar Morales. Ausente: Sergio A. Valls Hernández. Ponente: Alberto Pérez </w:t>
      </w:r>
      <w:proofErr w:type="spellStart"/>
      <w:r w:rsidRPr="000223F9">
        <w:rPr>
          <w:rFonts w:ascii="Palatino Linotype" w:hAnsi="Palatino Linotype"/>
          <w:i/>
          <w:sz w:val="22"/>
          <w:szCs w:val="22"/>
          <w:lang w:eastAsia="es-MX"/>
        </w:rPr>
        <w:t>Dayán</w:t>
      </w:r>
      <w:proofErr w:type="spellEnd"/>
      <w:r w:rsidRPr="000223F9">
        <w:rPr>
          <w:rFonts w:ascii="Palatino Linotype" w:hAnsi="Palatino Linotype"/>
          <w:i/>
          <w:sz w:val="22"/>
          <w:szCs w:val="22"/>
          <w:lang w:eastAsia="es-MX"/>
        </w:rPr>
        <w:t>. Secretario: Jorge Antonio Medina Gaona.</w:t>
      </w:r>
    </w:p>
    <w:p w:rsidR="000223F9" w:rsidRPr="000223F9" w:rsidRDefault="000223F9" w:rsidP="000223F9">
      <w:pPr>
        <w:ind w:left="851" w:right="757"/>
        <w:jc w:val="both"/>
        <w:rPr>
          <w:rFonts w:ascii="Palatino Linotype" w:hAnsi="Palatino Linotype"/>
          <w:i/>
          <w:sz w:val="22"/>
          <w:szCs w:val="22"/>
          <w:lang w:eastAsia="es-MX"/>
        </w:rPr>
      </w:pPr>
      <w:r w:rsidRPr="000223F9">
        <w:rPr>
          <w:rFonts w:ascii="Palatino Linotype" w:hAnsi="Palatino Linotype"/>
          <w:i/>
          <w:sz w:val="22"/>
          <w:szCs w:val="22"/>
          <w:lang w:eastAsia="es-MX"/>
        </w:rPr>
        <w:t xml:space="preserve">Amparo directo en revisión 1377/2015. Alfa New </w:t>
      </w:r>
      <w:proofErr w:type="spellStart"/>
      <w:r w:rsidRPr="000223F9">
        <w:rPr>
          <w:rFonts w:ascii="Palatino Linotype" w:hAnsi="Palatino Linotype"/>
          <w:i/>
          <w:sz w:val="22"/>
          <w:szCs w:val="22"/>
          <w:lang w:eastAsia="es-MX"/>
        </w:rPr>
        <w:t>Life</w:t>
      </w:r>
      <w:proofErr w:type="spellEnd"/>
      <w:r w:rsidRPr="000223F9">
        <w:rPr>
          <w:rFonts w:ascii="Palatino Linotype" w:hAnsi="Palatino Linotype"/>
          <w:i/>
          <w:sz w:val="22"/>
          <w:szCs w:val="22"/>
          <w:lang w:eastAsia="es-MX"/>
        </w:rPr>
        <w:t xml:space="preserve"> International, S.A. de C.V. 13 de mayo de 2015. Cinco votos de los Ministros Eduardo Medina Mora I., Juan N. Silva Meza, José Fernando Franco González Salas, Margarita Beatriz Luna Ramos y Alberto Pérez </w:t>
      </w:r>
      <w:proofErr w:type="spellStart"/>
      <w:r w:rsidRPr="000223F9">
        <w:rPr>
          <w:rFonts w:ascii="Palatino Linotype" w:hAnsi="Palatino Linotype"/>
          <w:i/>
          <w:sz w:val="22"/>
          <w:szCs w:val="22"/>
          <w:lang w:eastAsia="es-MX"/>
        </w:rPr>
        <w:t>Dayán</w:t>
      </w:r>
      <w:proofErr w:type="spellEnd"/>
      <w:r w:rsidRPr="000223F9">
        <w:rPr>
          <w:rFonts w:ascii="Palatino Linotype" w:hAnsi="Palatino Linotype"/>
          <w:i/>
          <w:sz w:val="22"/>
          <w:szCs w:val="22"/>
          <w:lang w:eastAsia="es-MX"/>
        </w:rPr>
        <w:t xml:space="preserve">. Ponente: Eduardo Medina Mora I. Secretaria: Paola </w:t>
      </w:r>
      <w:proofErr w:type="spellStart"/>
      <w:r w:rsidRPr="000223F9">
        <w:rPr>
          <w:rFonts w:ascii="Palatino Linotype" w:hAnsi="Palatino Linotype"/>
          <w:i/>
          <w:sz w:val="22"/>
          <w:szCs w:val="22"/>
          <w:lang w:eastAsia="es-MX"/>
        </w:rPr>
        <w:t>Yaber</w:t>
      </w:r>
      <w:proofErr w:type="spellEnd"/>
      <w:r w:rsidRPr="000223F9">
        <w:rPr>
          <w:rFonts w:ascii="Palatino Linotype" w:hAnsi="Palatino Linotype"/>
          <w:i/>
          <w:sz w:val="22"/>
          <w:szCs w:val="22"/>
          <w:lang w:eastAsia="es-MX"/>
        </w:rPr>
        <w:t xml:space="preserve"> Coronado.</w:t>
      </w:r>
    </w:p>
    <w:p w:rsidR="000223F9" w:rsidRPr="000223F9" w:rsidRDefault="000223F9" w:rsidP="000223F9">
      <w:pPr>
        <w:ind w:left="851" w:right="757"/>
        <w:jc w:val="both"/>
        <w:rPr>
          <w:rFonts w:ascii="Palatino Linotype" w:hAnsi="Palatino Linotype"/>
          <w:i/>
          <w:sz w:val="22"/>
          <w:szCs w:val="22"/>
          <w:lang w:eastAsia="es-MX"/>
        </w:rPr>
      </w:pPr>
      <w:r w:rsidRPr="000223F9">
        <w:rPr>
          <w:rFonts w:ascii="Palatino Linotype" w:hAnsi="Palatino Linotype"/>
          <w:i/>
          <w:sz w:val="22"/>
          <w:szCs w:val="22"/>
          <w:lang w:eastAsia="es-MX"/>
        </w:rPr>
        <w:t xml:space="preserve">Amparo directo en revisión 1551/2015. Distribuidora </w:t>
      </w:r>
      <w:proofErr w:type="spellStart"/>
      <w:r w:rsidRPr="000223F9">
        <w:rPr>
          <w:rFonts w:ascii="Palatino Linotype" w:hAnsi="Palatino Linotype"/>
          <w:i/>
          <w:sz w:val="22"/>
          <w:szCs w:val="22"/>
          <w:lang w:eastAsia="es-MX"/>
        </w:rPr>
        <w:t>Teyvi</w:t>
      </w:r>
      <w:proofErr w:type="spellEnd"/>
      <w:r w:rsidRPr="000223F9">
        <w:rPr>
          <w:rFonts w:ascii="Palatino Linotype" w:hAnsi="Palatino Linotype"/>
          <w:i/>
          <w:sz w:val="22"/>
          <w:szCs w:val="22"/>
          <w:lang w:eastAsia="es-MX"/>
        </w:rPr>
        <w:t xml:space="preserve">, S.A. de C.V. 8 de julio de 2015. Cinco votos de los Ministros Eduardo Medina Mora I., Juan N. Silva Meza, José Fernando Franco González Salas, Margarita Beatriz Luna Ramos y Alberto Pérez </w:t>
      </w:r>
      <w:proofErr w:type="spellStart"/>
      <w:r w:rsidRPr="000223F9">
        <w:rPr>
          <w:rFonts w:ascii="Palatino Linotype" w:hAnsi="Palatino Linotype"/>
          <w:i/>
          <w:sz w:val="22"/>
          <w:szCs w:val="22"/>
          <w:lang w:eastAsia="es-MX"/>
        </w:rPr>
        <w:t>Dayán</w:t>
      </w:r>
      <w:proofErr w:type="spellEnd"/>
      <w:r w:rsidRPr="000223F9">
        <w:rPr>
          <w:rFonts w:ascii="Palatino Linotype" w:hAnsi="Palatino Linotype"/>
          <w:i/>
          <w:sz w:val="22"/>
          <w:szCs w:val="22"/>
          <w:lang w:eastAsia="es-MX"/>
        </w:rPr>
        <w:t xml:space="preserve">. Ponente: Eduardo Medina Mora I. Secretaria: </w:t>
      </w:r>
      <w:proofErr w:type="spellStart"/>
      <w:r w:rsidRPr="000223F9">
        <w:rPr>
          <w:rFonts w:ascii="Palatino Linotype" w:hAnsi="Palatino Linotype"/>
          <w:i/>
          <w:sz w:val="22"/>
          <w:szCs w:val="22"/>
          <w:lang w:eastAsia="es-MX"/>
        </w:rPr>
        <w:t>Miroslava</w:t>
      </w:r>
      <w:proofErr w:type="spellEnd"/>
      <w:r w:rsidRPr="000223F9">
        <w:rPr>
          <w:rFonts w:ascii="Palatino Linotype" w:hAnsi="Palatino Linotype"/>
          <w:i/>
          <w:sz w:val="22"/>
          <w:szCs w:val="22"/>
          <w:lang w:eastAsia="es-MX"/>
        </w:rPr>
        <w:t xml:space="preserve"> de Fátima </w:t>
      </w:r>
      <w:proofErr w:type="spellStart"/>
      <w:r w:rsidRPr="000223F9">
        <w:rPr>
          <w:rFonts w:ascii="Palatino Linotype" w:hAnsi="Palatino Linotype"/>
          <w:i/>
          <w:sz w:val="22"/>
          <w:szCs w:val="22"/>
          <w:lang w:eastAsia="es-MX"/>
        </w:rPr>
        <w:t>Alcayde</w:t>
      </w:r>
      <w:proofErr w:type="spellEnd"/>
      <w:r w:rsidRPr="000223F9">
        <w:rPr>
          <w:rFonts w:ascii="Palatino Linotype" w:hAnsi="Palatino Linotype"/>
          <w:i/>
          <w:sz w:val="22"/>
          <w:szCs w:val="22"/>
          <w:lang w:eastAsia="es-MX"/>
        </w:rPr>
        <w:t xml:space="preserve"> Escalante.</w:t>
      </w:r>
    </w:p>
    <w:p w:rsidR="000223F9" w:rsidRPr="000223F9" w:rsidRDefault="000223F9" w:rsidP="000223F9">
      <w:pPr>
        <w:ind w:left="851" w:right="757"/>
        <w:jc w:val="both"/>
        <w:rPr>
          <w:rFonts w:ascii="Palatino Linotype" w:hAnsi="Palatino Linotype"/>
          <w:i/>
          <w:sz w:val="22"/>
          <w:szCs w:val="22"/>
          <w:lang w:eastAsia="es-MX"/>
        </w:rPr>
      </w:pPr>
      <w:r w:rsidRPr="000223F9">
        <w:rPr>
          <w:rFonts w:ascii="Palatino Linotype" w:hAnsi="Palatino Linotype"/>
          <w:i/>
          <w:sz w:val="22"/>
          <w:szCs w:val="22"/>
          <w:lang w:eastAsia="es-MX"/>
        </w:rPr>
        <w:t xml:space="preserve">Amparo en revisión 928/2015. Cajeme Productos Pecuarios, S.A. de C.V. 10 de febrero de 2016. Unanimidad de cuatro votos de los Ministros Eduardo Medina Mora I., Javier </w:t>
      </w:r>
      <w:proofErr w:type="spellStart"/>
      <w:r w:rsidRPr="000223F9">
        <w:rPr>
          <w:rFonts w:ascii="Palatino Linotype" w:hAnsi="Palatino Linotype"/>
          <w:i/>
          <w:sz w:val="22"/>
          <w:szCs w:val="22"/>
          <w:lang w:eastAsia="es-MX"/>
        </w:rPr>
        <w:t>Laynez</w:t>
      </w:r>
      <w:proofErr w:type="spellEnd"/>
      <w:r w:rsidRPr="000223F9">
        <w:rPr>
          <w:rFonts w:ascii="Palatino Linotype" w:hAnsi="Palatino Linotype"/>
          <w:i/>
          <w:sz w:val="22"/>
          <w:szCs w:val="22"/>
          <w:lang w:eastAsia="es-MX"/>
        </w:rPr>
        <w:t xml:space="preserve"> </w:t>
      </w:r>
      <w:proofErr w:type="spellStart"/>
      <w:r w:rsidRPr="000223F9">
        <w:rPr>
          <w:rFonts w:ascii="Palatino Linotype" w:hAnsi="Palatino Linotype"/>
          <w:i/>
          <w:sz w:val="22"/>
          <w:szCs w:val="22"/>
          <w:lang w:eastAsia="es-MX"/>
        </w:rPr>
        <w:t>Potisek</w:t>
      </w:r>
      <w:proofErr w:type="spellEnd"/>
      <w:r w:rsidRPr="000223F9">
        <w:rPr>
          <w:rFonts w:ascii="Palatino Linotype" w:hAnsi="Palatino Linotype"/>
          <w:i/>
          <w:sz w:val="22"/>
          <w:szCs w:val="22"/>
          <w:lang w:eastAsia="es-MX"/>
        </w:rPr>
        <w:t xml:space="preserve">, José Fernando Franco González Salas y Margarita Beatriz Luna Ramos. Ausente: Alberto Pérez </w:t>
      </w:r>
      <w:proofErr w:type="spellStart"/>
      <w:r w:rsidRPr="000223F9">
        <w:rPr>
          <w:rFonts w:ascii="Palatino Linotype" w:hAnsi="Palatino Linotype"/>
          <w:i/>
          <w:sz w:val="22"/>
          <w:szCs w:val="22"/>
          <w:lang w:eastAsia="es-MX"/>
        </w:rPr>
        <w:t>Dayán</w:t>
      </w:r>
      <w:proofErr w:type="spellEnd"/>
      <w:r w:rsidRPr="000223F9">
        <w:rPr>
          <w:rFonts w:ascii="Palatino Linotype" w:hAnsi="Palatino Linotype"/>
          <w:i/>
          <w:sz w:val="22"/>
          <w:szCs w:val="22"/>
          <w:lang w:eastAsia="es-MX"/>
        </w:rPr>
        <w:t xml:space="preserve">. Ponente: Eduardo Medina Mora I. Secretaria: </w:t>
      </w:r>
      <w:proofErr w:type="spellStart"/>
      <w:r w:rsidRPr="000223F9">
        <w:rPr>
          <w:rFonts w:ascii="Palatino Linotype" w:hAnsi="Palatino Linotype"/>
          <w:i/>
          <w:sz w:val="22"/>
          <w:szCs w:val="22"/>
          <w:lang w:eastAsia="es-MX"/>
        </w:rPr>
        <w:t>Miroslava</w:t>
      </w:r>
      <w:proofErr w:type="spellEnd"/>
      <w:r w:rsidRPr="000223F9">
        <w:rPr>
          <w:rFonts w:ascii="Palatino Linotype" w:hAnsi="Palatino Linotype"/>
          <w:i/>
          <w:sz w:val="22"/>
          <w:szCs w:val="22"/>
          <w:lang w:eastAsia="es-MX"/>
        </w:rPr>
        <w:t xml:space="preserve"> de Fátima </w:t>
      </w:r>
      <w:proofErr w:type="spellStart"/>
      <w:r w:rsidRPr="000223F9">
        <w:rPr>
          <w:rFonts w:ascii="Palatino Linotype" w:hAnsi="Palatino Linotype"/>
          <w:i/>
          <w:sz w:val="22"/>
          <w:szCs w:val="22"/>
          <w:lang w:eastAsia="es-MX"/>
        </w:rPr>
        <w:t>Alcayde</w:t>
      </w:r>
      <w:proofErr w:type="spellEnd"/>
      <w:r w:rsidRPr="000223F9">
        <w:rPr>
          <w:rFonts w:ascii="Palatino Linotype" w:hAnsi="Palatino Linotype"/>
          <w:i/>
          <w:sz w:val="22"/>
          <w:szCs w:val="22"/>
          <w:lang w:eastAsia="es-MX"/>
        </w:rPr>
        <w:t xml:space="preserve"> Escalante.</w:t>
      </w:r>
    </w:p>
    <w:p w:rsidR="000223F9" w:rsidRPr="000223F9" w:rsidRDefault="000223F9" w:rsidP="000223F9">
      <w:pPr>
        <w:ind w:left="851" w:right="757"/>
        <w:jc w:val="both"/>
        <w:rPr>
          <w:rFonts w:ascii="Palatino Linotype" w:hAnsi="Palatino Linotype"/>
          <w:i/>
          <w:sz w:val="22"/>
          <w:szCs w:val="22"/>
          <w:lang w:eastAsia="es-MX"/>
        </w:rPr>
      </w:pPr>
      <w:r w:rsidRPr="000223F9">
        <w:rPr>
          <w:rFonts w:ascii="Palatino Linotype" w:hAnsi="Palatino Linotype"/>
          <w:i/>
          <w:sz w:val="22"/>
          <w:szCs w:val="22"/>
          <w:lang w:eastAsia="es-MX"/>
        </w:rPr>
        <w:t xml:space="preserve">Amparo en revisión 1469/2015. Luz Elena García Díaz. 1 de junio de 2016. Unanimidad de cuatro votos de los Ministros Eduardo Medina Mora I., Javier </w:t>
      </w:r>
      <w:proofErr w:type="spellStart"/>
      <w:r w:rsidRPr="000223F9">
        <w:rPr>
          <w:rFonts w:ascii="Palatino Linotype" w:hAnsi="Palatino Linotype"/>
          <w:i/>
          <w:sz w:val="22"/>
          <w:szCs w:val="22"/>
          <w:lang w:eastAsia="es-MX"/>
        </w:rPr>
        <w:t>Laynez</w:t>
      </w:r>
      <w:proofErr w:type="spellEnd"/>
      <w:r w:rsidRPr="000223F9">
        <w:rPr>
          <w:rFonts w:ascii="Palatino Linotype" w:hAnsi="Palatino Linotype"/>
          <w:i/>
          <w:sz w:val="22"/>
          <w:szCs w:val="22"/>
          <w:lang w:eastAsia="es-MX"/>
        </w:rPr>
        <w:t xml:space="preserve"> </w:t>
      </w:r>
      <w:proofErr w:type="spellStart"/>
      <w:r w:rsidRPr="000223F9">
        <w:rPr>
          <w:rFonts w:ascii="Palatino Linotype" w:hAnsi="Palatino Linotype"/>
          <w:i/>
          <w:sz w:val="22"/>
          <w:szCs w:val="22"/>
          <w:lang w:eastAsia="es-MX"/>
        </w:rPr>
        <w:t>Potisek</w:t>
      </w:r>
      <w:proofErr w:type="spellEnd"/>
      <w:r w:rsidRPr="000223F9">
        <w:rPr>
          <w:rFonts w:ascii="Palatino Linotype" w:hAnsi="Palatino Linotype"/>
          <w:i/>
          <w:sz w:val="22"/>
          <w:szCs w:val="22"/>
          <w:lang w:eastAsia="es-MX"/>
        </w:rPr>
        <w:t xml:space="preserve">, José Fernando Franco González Salas y Alberto Pérez </w:t>
      </w:r>
      <w:proofErr w:type="spellStart"/>
      <w:r w:rsidRPr="000223F9">
        <w:rPr>
          <w:rFonts w:ascii="Palatino Linotype" w:hAnsi="Palatino Linotype"/>
          <w:i/>
          <w:sz w:val="22"/>
          <w:szCs w:val="22"/>
          <w:lang w:eastAsia="es-MX"/>
        </w:rPr>
        <w:t>Dayán</w:t>
      </w:r>
      <w:proofErr w:type="spellEnd"/>
      <w:r w:rsidRPr="000223F9">
        <w:rPr>
          <w:rFonts w:ascii="Palatino Linotype" w:hAnsi="Palatino Linotype"/>
          <w:i/>
          <w:sz w:val="22"/>
          <w:szCs w:val="22"/>
          <w:lang w:eastAsia="es-MX"/>
        </w:rPr>
        <w:t>. Ausente: Margarita Beatriz Luna Ramos. Ponente: Eduardo Medina Mora I. Secretaria: Diana Cristina Rangel León.</w:t>
      </w:r>
    </w:p>
    <w:p w:rsidR="000223F9" w:rsidRPr="000223F9" w:rsidRDefault="000223F9" w:rsidP="000223F9">
      <w:pPr>
        <w:ind w:left="851" w:right="757"/>
        <w:jc w:val="both"/>
        <w:rPr>
          <w:rFonts w:ascii="Palatino Linotype" w:hAnsi="Palatino Linotype"/>
          <w:i/>
          <w:sz w:val="22"/>
          <w:szCs w:val="22"/>
          <w:lang w:eastAsia="es-MX"/>
        </w:rPr>
      </w:pPr>
      <w:r w:rsidRPr="000223F9">
        <w:rPr>
          <w:rFonts w:ascii="Palatino Linotype" w:hAnsi="Palatino Linotype"/>
          <w:i/>
          <w:sz w:val="22"/>
          <w:szCs w:val="22"/>
          <w:lang w:eastAsia="es-MX"/>
        </w:rPr>
        <w:t>Tesis de jurisprudencia 82/2016 (10a.). Aprobada por la Segunda Sala de este Alto Tribunal, en sesión privada del veintidós de junio de dos mil dieciséis.</w:t>
      </w:r>
    </w:p>
    <w:p w:rsidR="007822D3" w:rsidRDefault="007822D3" w:rsidP="0076436E">
      <w:pPr>
        <w:spacing w:line="360" w:lineRule="auto"/>
        <w:jc w:val="both"/>
        <w:rPr>
          <w:rFonts w:ascii="Palatino Linotype" w:hAnsi="Palatino Linotype" w:cs="Arial"/>
        </w:rPr>
      </w:pPr>
    </w:p>
    <w:p w:rsidR="00746661" w:rsidRDefault="00AC7263" w:rsidP="0076436E">
      <w:pPr>
        <w:spacing w:line="360" w:lineRule="auto"/>
        <w:jc w:val="both"/>
        <w:rPr>
          <w:rFonts w:ascii="Palatino Linotype" w:hAnsi="Palatino Linotype" w:cs="Arial"/>
          <w:lang w:eastAsia="es-MX"/>
        </w:rPr>
      </w:pPr>
      <w:r>
        <w:rPr>
          <w:rFonts w:ascii="Palatino Linotype" w:hAnsi="Palatino Linotype" w:cs="Arial"/>
        </w:rPr>
        <w:t>P</w:t>
      </w:r>
      <w:r w:rsidR="007A11A6">
        <w:rPr>
          <w:rFonts w:ascii="Palatino Linotype" w:hAnsi="Palatino Linotype" w:cs="Arial"/>
        </w:rPr>
        <w:t>or lo</w:t>
      </w:r>
      <w:r>
        <w:rPr>
          <w:rFonts w:ascii="Palatino Linotype" w:hAnsi="Palatino Linotype" w:cs="Arial"/>
        </w:rPr>
        <w:t xml:space="preserve"> que</w:t>
      </w:r>
      <w:r w:rsidR="003B2B30">
        <w:rPr>
          <w:rFonts w:ascii="Palatino Linotype" w:hAnsi="Palatino Linotype" w:cs="Arial"/>
        </w:rPr>
        <w:t>,</w:t>
      </w:r>
      <w:r w:rsidR="007A11A6">
        <w:rPr>
          <w:rFonts w:ascii="Palatino Linotype" w:hAnsi="Palatino Linotype" w:cs="Arial"/>
        </w:rPr>
        <w:t xml:space="preserve"> se </w:t>
      </w:r>
      <w:r w:rsidR="007A11A6">
        <w:rPr>
          <w:rFonts w:ascii="Palatino Linotype" w:hAnsi="Palatino Linotype" w:cs="Arial"/>
          <w:lang w:eastAsia="es-MX"/>
        </w:rPr>
        <w:t xml:space="preserve">emite </w:t>
      </w:r>
      <w:r w:rsidR="007A11A6" w:rsidRPr="00CE7166">
        <w:rPr>
          <w:rFonts w:ascii="Palatino Linotype" w:hAnsi="Palatino Linotype" w:cs="Arial"/>
          <w:b/>
          <w:lang w:eastAsia="es-MX"/>
        </w:rPr>
        <w:t xml:space="preserve">VOTO PARTICULAR </w:t>
      </w:r>
      <w:r w:rsidR="003B2B30">
        <w:rPr>
          <w:rFonts w:ascii="Palatino Linotype" w:hAnsi="Palatino Linotype" w:cs="Arial"/>
          <w:b/>
          <w:lang w:eastAsia="es-MX"/>
        </w:rPr>
        <w:t>CONCU</w:t>
      </w:r>
      <w:r w:rsidR="007A652C">
        <w:rPr>
          <w:rFonts w:ascii="Palatino Linotype" w:hAnsi="Palatino Linotype" w:cs="Arial"/>
          <w:b/>
          <w:lang w:eastAsia="es-MX"/>
        </w:rPr>
        <w:t xml:space="preserve">RRENTE </w:t>
      </w:r>
      <w:r w:rsidR="007A11A6">
        <w:rPr>
          <w:rFonts w:ascii="Palatino Linotype" w:hAnsi="Palatino Linotype" w:cs="Arial"/>
          <w:lang w:eastAsia="es-MX"/>
        </w:rPr>
        <w:t xml:space="preserve">a fin de precisar que </w:t>
      </w:r>
      <w:r w:rsidR="007A11A6" w:rsidRPr="002E6BDD">
        <w:rPr>
          <w:rFonts w:ascii="Palatino Linotype" w:hAnsi="Palatino Linotype" w:cs="Arial"/>
          <w:lang w:eastAsia="es-MX"/>
        </w:rPr>
        <w:t>lo procedente</w:t>
      </w:r>
      <w:r w:rsidR="007A11A6">
        <w:rPr>
          <w:rFonts w:ascii="Palatino Linotype" w:hAnsi="Palatino Linotype" w:cs="Arial"/>
          <w:lang w:eastAsia="es-MX"/>
        </w:rPr>
        <w:t xml:space="preserve"> era </w:t>
      </w:r>
      <w:r w:rsidR="007A11A6" w:rsidRPr="007A11A6">
        <w:rPr>
          <w:rFonts w:ascii="Palatino Linotype" w:hAnsi="Palatino Linotype" w:cs="Arial"/>
          <w:b/>
        </w:rPr>
        <w:t>sobreseer</w:t>
      </w:r>
      <w:r w:rsidR="007A11A6">
        <w:rPr>
          <w:rFonts w:ascii="Palatino Linotype" w:hAnsi="Palatino Linotype" w:cs="Arial"/>
          <w:lang w:eastAsia="es-MX"/>
        </w:rPr>
        <w:t xml:space="preserve"> el recurso de revisión de mérito</w:t>
      </w:r>
      <w:r w:rsidR="007A11A6" w:rsidRPr="002E6BDD">
        <w:rPr>
          <w:rFonts w:ascii="Palatino Linotype" w:hAnsi="Palatino Linotype" w:cs="Arial"/>
          <w:lang w:eastAsia="es-MX"/>
        </w:rPr>
        <w:t xml:space="preserve"> con fundamento en </w:t>
      </w:r>
      <w:r w:rsidR="0062024C">
        <w:rPr>
          <w:rFonts w:ascii="Palatino Linotype" w:hAnsi="Palatino Linotype" w:cs="Arial"/>
          <w:lang w:eastAsia="es-MX"/>
        </w:rPr>
        <w:t>el numeral 192</w:t>
      </w:r>
      <w:r w:rsidR="004555CD">
        <w:rPr>
          <w:rFonts w:ascii="Palatino Linotype" w:hAnsi="Palatino Linotype" w:cs="Arial"/>
          <w:lang w:eastAsia="es-MX"/>
        </w:rPr>
        <w:t>, fracción I</w:t>
      </w:r>
      <w:r w:rsidR="0062024C">
        <w:rPr>
          <w:rFonts w:ascii="Palatino Linotype" w:hAnsi="Palatino Linotype" w:cs="Arial"/>
          <w:lang w:eastAsia="es-MX"/>
        </w:rPr>
        <w:t xml:space="preserve"> de la Ley de Transparencia y Acceso a la Información Pública del Estado de México</w:t>
      </w:r>
      <w:r w:rsidR="00E36A75">
        <w:rPr>
          <w:rFonts w:ascii="Palatino Linotype" w:hAnsi="Palatino Linotype" w:cs="Arial"/>
          <w:lang w:eastAsia="es-MX"/>
        </w:rPr>
        <w:t>,</w:t>
      </w:r>
      <w:r w:rsidR="00117251">
        <w:rPr>
          <w:rFonts w:ascii="Palatino Linotype" w:hAnsi="Palatino Linotype" w:cs="Arial"/>
          <w:lang w:eastAsia="es-MX"/>
        </w:rPr>
        <w:t xml:space="preserve"> al existir la declaración de voluntad del </w:t>
      </w:r>
      <w:r w:rsidR="00117251" w:rsidRPr="00117251">
        <w:rPr>
          <w:rFonts w:ascii="Palatino Linotype" w:hAnsi="Palatino Linotype" w:cs="Arial"/>
          <w:b/>
          <w:lang w:eastAsia="es-MX"/>
        </w:rPr>
        <w:t>RECURRENTE</w:t>
      </w:r>
      <w:r w:rsidR="00117251">
        <w:rPr>
          <w:rFonts w:ascii="Palatino Linotype" w:hAnsi="Palatino Linotype" w:cs="Arial"/>
          <w:lang w:eastAsia="es-MX"/>
        </w:rPr>
        <w:t xml:space="preserve"> de no proseguir con el me</w:t>
      </w:r>
      <w:r w:rsidR="003B2B30">
        <w:rPr>
          <w:rFonts w:ascii="Palatino Linotype" w:hAnsi="Palatino Linotype" w:cs="Arial"/>
          <w:lang w:eastAsia="es-MX"/>
        </w:rPr>
        <w:t xml:space="preserve">dio de impugnación; lo anterior, </w:t>
      </w:r>
      <w:r w:rsidR="00117251">
        <w:rPr>
          <w:rFonts w:ascii="Palatino Linotype" w:hAnsi="Palatino Linotype" w:cs="Arial"/>
          <w:lang w:eastAsia="es-MX"/>
        </w:rPr>
        <w:t>en atención a los principios consagrados en el artículo 9 de la Ley de Transparencia y Acceso a la Información Pública del Estado de México y Municipios.</w:t>
      </w:r>
    </w:p>
    <w:p w:rsidR="00117251" w:rsidRDefault="00117251" w:rsidP="0076436E">
      <w:pPr>
        <w:spacing w:line="360" w:lineRule="auto"/>
        <w:jc w:val="both"/>
        <w:rPr>
          <w:rFonts w:ascii="Palatino Linotype" w:hAnsi="Palatino Linotype" w:cs="Arial"/>
          <w:lang w:eastAsia="es-MX"/>
        </w:rPr>
      </w:pPr>
    </w:p>
    <w:p w:rsidR="00117251" w:rsidRDefault="00117251" w:rsidP="0076436E">
      <w:pPr>
        <w:spacing w:line="360" w:lineRule="auto"/>
        <w:jc w:val="both"/>
        <w:rPr>
          <w:rFonts w:ascii="Palatino Linotype" w:hAnsi="Palatino Linotype" w:cs="Arial"/>
          <w:lang w:eastAsia="es-MX"/>
        </w:rPr>
      </w:pPr>
    </w:p>
    <w:p w:rsidR="00117251" w:rsidRDefault="00117251" w:rsidP="0076436E">
      <w:pPr>
        <w:spacing w:line="360" w:lineRule="auto"/>
        <w:jc w:val="both"/>
        <w:rPr>
          <w:rFonts w:ascii="Palatino Linotype" w:hAnsi="Palatino Linotype" w:cs="Arial"/>
          <w:lang w:eastAsia="es-MX"/>
        </w:rPr>
      </w:pPr>
    </w:p>
    <w:p w:rsidR="00117251" w:rsidRDefault="00117251" w:rsidP="0076436E">
      <w:pPr>
        <w:spacing w:line="360" w:lineRule="auto"/>
        <w:jc w:val="both"/>
        <w:rPr>
          <w:rFonts w:ascii="Palatino Linotype" w:hAnsi="Palatino Linotype" w:cs="Arial"/>
          <w:lang w:eastAsia="es-MX"/>
        </w:rPr>
      </w:pPr>
    </w:p>
    <w:p w:rsidR="00BA6DCB" w:rsidRDefault="00BA6DCB" w:rsidP="0076436E">
      <w:pPr>
        <w:spacing w:line="360" w:lineRule="auto"/>
        <w:jc w:val="both"/>
        <w:rPr>
          <w:rFonts w:ascii="Palatino Linotype" w:hAnsi="Palatino Linotype" w:cs="Arial"/>
          <w:lang w:eastAsia="es-MX"/>
        </w:rPr>
      </w:pPr>
    </w:p>
    <w:p w:rsidR="00BA6DCB" w:rsidRDefault="00BA6DCB" w:rsidP="0076436E">
      <w:pPr>
        <w:spacing w:line="360" w:lineRule="auto"/>
        <w:jc w:val="both"/>
        <w:rPr>
          <w:rFonts w:ascii="Palatino Linotype" w:hAnsi="Palatino Linotype" w:cs="Arial"/>
          <w:lang w:eastAsia="es-MX"/>
        </w:rPr>
      </w:pPr>
    </w:p>
    <w:p w:rsidR="00117251" w:rsidRDefault="00117251" w:rsidP="0076436E">
      <w:pPr>
        <w:spacing w:line="360" w:lineRule="auto"/>
        <w:jc w:val="both"/>
        <w:rPr>
          <w:rFonts w:ascii="Palatino Linotype" w:hAnsi="Palatino Linotype" w:cs="Arial"/>
        </w:rPr>
      </w:pPr>
    </w:p>
    <w:p w:rsidR="00BA6DCB" w:rsidRPr="002E6BDD" w:rsidRDefault="00BA6DCB" w:rsidP="0076436E">
      <w:pPr>
        <w:spacing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000"/>
      </w:tblGrid>
      <w:tr w:rsidR="00117251" w:rsidRPr="001F1627" w:rsidTr="00FC1B6E">
        <w:tc>
          <w:tcPr>
            <w:tcW w:w="4111" w:type="dxa"/>
          </w:tcPr>
          <w:p w:rsidR="00117251" w:rsidRPr="001F1627" w:rsidRDefault="00117251" w:rsidP="00FC1B6E">
            <w:pPr>
              <w:jc w:val="center"/>
              <w:rPr>
                <w:rFonts w:ascii="Palatino Linotype" w:hAnsi="Palatino Linotype"/>
                <w:b/>
              </w:rPr>
            </w:pPr>
            <w:r w:rsidRPr="001F1627">
              <w:rPr>
                <w:rFonts w:ascii="Palatino Linotype" w:hAnsi="Palatino Linotype"/>
                <w:b/>
              </w:rPr>
              <w:t>EVA ABAID YAPUR</w:t>
            </w:r>
          </w:p>
        </w:tc>
        <w:tc>
          <w:tcPr>
            <w:tcW w:w="5000" w:type="dxa"/>
          </w:tcPr>
          <w:p w:rsidR="00117251" w:rsidRPr="001F1627" w:rsidRDefault="00117251" w:rsidP="00FC1B6E">
            <w:pPr>
              <w:widowControl w:val="0"/>
              <w:autoSpaceDE w:val="0"/>
              <w:autoSpaceDN w:val="0"/>
              <w:adjustRightInd w:val="0"/>
              <w:jc w:val="center"/>
              <w:rPr>
                <w:rFonts w:ascii="Palatino Linotype" w:hAnsi="Palatino Linotype"/>
                <w:b/>
              </w:rPr>
            </w:pPr>
            <w:r>
              <w:rPr>
                <w:rFonts w:ascii="Palatino Linotype" w:hAnsi="Palatino Linotype"/>
                <w:b/>
              </w:rPr>
              <w:t>JAVIER MARTÍNEZ CRUZ</w:t>
            </w:r>
          </w:p>
        </w:tc>
      </w:tr>
      <w:tr w:rsidR="00117251" w:rsidRPr="001F1627" w:rsidTr="00FC1B6E">
        <w:tc>
          <w:tcPr>
            <w:tcW w:w="4111" w:type="dxa"/>
          </w:tcPr>
          <w:p w:rsidR="00117251" w:rsidRPr="001F1627" w:rsidRDefault="00117251" w:rsidP="00FC1B6E">
            <w:pPr>
              <w:jc w:val="center"/>
              <w:rPr>
                <w:rFonts w:ascii="Palatino Linotype" w:hAnsi="Palatino Linotype"/>
                <w:b/>
              </w:rPr>
            </w:pPr>
            <w:r w:rsidRPr="001F1627">
              <w:rPr>
                <w:rFonts w:ascii="Palatino Linotype" w:hAnsi="Palatino Linotype"/>
                <w:b/>
              </w:rPr>
              <w:t>COMISIONADA</w:t>
            </w:r>
          </w:p>
        </w:tc>
        <w:tc>
          <w:tcPr>
            <w:tcW w:w="5000" w:type="dxa"/>
          </w:tcPr>
          <w:p w:rsidR="00117251" w:rsidRPr="001F1627" w:rsidRDefault="00117251" w:rsidP="00FC1B6E">
            <w:pPr>
              <w:widowControl w:val="0"/>
              <w:autoSpaceDE w:val="0"/>
              <w:autoSpaceDN w:val="0"/>
              <w:adjustRightInd w:val="0"/>
              <w:jc w:val="center"/>
              <w:rPr>
                <w:rFonts w:ascii="Palatino Linotype" w:hAnsi="Palatino Linotype"/>
                <w:b/>
              </w:rPr>
            </w:pPr>
            <w:r w:rsidRPr="001F1627">
              <w:rPr>
                <w:rFonts w:ascii="Palatino Linotype" w:hAnsi="Palatino Linotype"/>
                <w:b/>
              </w:rPr>
              <w:t>COMISIONADO</w:t>
            </w:r>
          </w:p>
        </w:tc>
      </w:tr>
      <w:tr w:rsidR="00117251" w:rsidRPr="001F1627" w:rsidTr="00FC1B6E">
        <w:tc>
          <w:tcPr>
            <w:tcW w:w="4111" w:type="dxa"/>
          </w:tcPr>
          <w:p w:rsidR="00117251" w:rsidRPr="001F1627" w:rsidRDefault="005E38C4" w:rsidP="00FC1B6E">
            <w:pPr>
              <w:widowControl w:val="0"/>
              <w:autoSpaceDE w:val="0"/>
              <w:autoSpaceDN w:val="0"/>
              <w:adjustRightInd w:val="0"/>
              <w:jc w:val="center"/>
              <w:rPr>
                <w:rFonts w:ascii="Palatino Linotype" w:hAnsi="Palatino Linotype"/>
                <w:b/>
              </w:rPr>
            </w:pPr>
            <w:r>
              <w:rPr>
                <w:rFonts w:ascii="Palatino Linotype" w:hAnsi="Palatino Linotype"/>
                <w:b/>
              </w:rPr>
              <w:t>(RÚBRICA)</w:t>
            </w:r>
          </w:p>
        </w:tc>
        <w:tc>
          <w:tcPr>
            <w:tcW w:w="5000" w:type="dxa"/>
          </w:tcPr>
          <w:p w:rsidR="00117251" w:rsidRPr="001F1627" w:rsidRDefault="005E38C4" w:rsidP="00FC1B6E">
            <w:pPr>
              <w:widowControl w:val="0"/>
              <w:autoSpaceDE w:val="0"/>
              <w:autoSpaceDN w:val="0"/>
              <w:adjustRightInd w:val="0"/>
              <w:jc w:val="center"/>
              <w:rPr>
                <w:rFonts w:ascii="Palatino Linotype" w:hAnsi="Palatino Linotype"/>
                <w:b/>
              </w:rPr>
            </w:pPr>
            <w:r>
              <w:rPr>
                <w:rFonts w:ascii="Palatino Linotype" w:hAnsi="Palatino Linotype"/>
                <w:b/>
              </w:rPr>
              <w:t>(RÚBRICA</w:t>
            </w:r>
            <w:bookmarkStart w:id="0" w:name="_GoBack"/>
            <w:bookmarkEnd w:id="0"/>
          </w:p>
        </w:tc>
      </w:tr>
    </w:tbl>
    <w:p w:rsidR="00117251" w:rsidRDefault="00117251" w:rsidP="0076436E">
      <w:pPr>
        <w:jc w:val="both"/>
        <w:rPr>
          <w:rFonts w:ascii="Palatino Linotype" w:eastAsia="Calibri" w:hAnsi="Palatino Linotype" w:cs="Arial"/>
          <w:color w:val="000000" w:themeColor="text1"/>
          <w:sz w:val="20"/>
          <w:szCs w:val="20"/>
        </w:rPr>
      </w:pPr>
    </w:p>
    <w:p w:rsidR="00117251" w:rsidRDefault="00117251" w:rsidP="0076436E">
      <w:pPr>
        <w:jc w:val="both"/>
        <w:rPr>
          <w:rFonts w:ascii="Palatino Linotype" w:eastAsia="Calibri" w:hAnsi="Palatino Linotype" w:cs="Arial"/>
          <w:color w:val="000000" w:themeColor="text1"/>
          <w:sz w:val="20"/>
          <w:szCs w:val="20"/>
        </w:rPr>
      </w:pPr>
    </w:p>
    <w:p w:rsidR="00117251" w:rsidRDefault="00117251" w:rsidP="0076436E">
      <w:pPr>
        <w:jc w:val="both"/>
        <w:rPr>
          <w:rFonts w:ascii="Palatino Linotype" w:eastAsia="Calibri" w:hAnsi="Palatino Linotype" w:cs="Arial"/>
          <w:color w:val="000000" w:themeColor="text1"/>
          <w:sz w:val="20"/>
          <w:szCs w:val="20"/>
        </w:rPr>
      </w:pPr>
    </w:p>
    <w:p w:rsidR="00117251" w:rsidRDefault="00117251" w:rsidP="0076436E">
      <w:pPr>
        <w:jc w:val="both"/>
        <w:rPr>
          <w:rFonts w:ascii="Palatino Linotype" w:eastAsia="Calibri" w:hAnsi="Palatino Linotype" w:cs="Arial"/>
          <w:color w:val="000000" w:themeColor="text1"/>
          <w:sz w:val="20"/>
          <w:szCs w:val="20"/>
        </w:rPr>
      </w:pPr>
    </w:p>
    <w:p w:rsidR="00117251" w:rsidRDefault="00117251" w:rsidP="0076436E">
      <w:pPr>
        <w:jc w:val="both"/>
        <w:rPr>
          <w:rFonts w:ascii="Palatino Linotype" w:eastAsia="Calibri" w:hAnsi="Palatino Linotype" w:cs="Arial"/>
          <w:color w:val="000000" w:themeColor="text1"/>
          <w:sz w:val="20"/>
          <w:szCs w:val="20"/>
        </w:rPr>
      </w:pPr>
    </w:p>
    <w:p w:rsidR="00117251" w:rsidRDefault="00117251" w:rsidP="0076436E">
      <w:pPr>
        <w:jc w:val="both"/>
        <w:rPr>
          <w:rFonts w:ascii="Palatino Linotype" w:eastAsia="Calibri" w:hAnsi="Palatino Linotype" w:cs="Arial"/>
          <w:color w:val="000000" w:themeColor="text1"/>
          <w:sz w:val="20"/>
          <w:szCs w:val="20"/>
        </w:rPr>
      </w:pPr>
    </w:p>
    <w:p w:rsidR="00BA6DCB" w:rsidRDefault="00BA6DCB" w:rsidP="0076436E">
      <w:pPr>
        <w:jc w:val="both"/>
        <w:rPr>
          <w:rFonts w:ascii="Palatino Linotype" w:eastAsia="Calibri" w:hAnsi="Palatino Linotype" w:cs="Arial"/>
          <w:color w:val="000000" w:themeColor="text1"/>
          <w:sz w:val="20"/>
          <w:szCs w:val="20"/>
        </w:rPr>
      </w:pPr>
    </w:p>
    <w:p w:rsidR="00BA6DCB" w:rsidRDefault="00BA6DCB" w:rsidP="0076436E">
      <w:pPr>
        <w:jc w:val="both"/>
        <w:rPr>
          <w:rFonts w:ascii="Palatino Linotype" w:eastAsia="Calibri" w:hAnsi="Palatino Linotype" w:cs="Arial"/>
          <w:color w:val="000000" w:themeColor="text1"/>
          <w:sz w:val="20"/>
          <w:szCs w:val="20"/>
        </w:rPr>
      </w:pPr>
    </w:p>
    <w:p w:rsidR="00117251" w:rsidRDefault="00117251" w:rsidP="0076436E">
      <w:pPr>
        <w:jc w:val="both"/>
        <w:rPr>
          <w:rFonts w:ascii="Palatino Linotype" w:eastAsia="Calibri" w:hAnsi="Palatino Linotype" w:cs="Arial"/>
          <w:color w:val="000000" w:themeColor="text1"/>
          <w:sz w:val="20"/>
          <w:szCs w:val="20"/>
        </w:rPr>
      </w:pPr>
    </w:p>
    <w:p w:rsidR="00746661" w:rsidRDefault="00746661" w:rsidP="0076436E">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Esta hoja corresponde al voto particular</w:t>
      </w:r>
      <w:r w:rsidR="004555CD">
        <w:rPr>
          <w:rFonts w:ascii="Palatino Linotype" w:eastAsia="Calibri" w:hAnsi="Palatino Linotype" w:cs="Arial"/>
          <w:color w:val="000000" w:themeColor="text1"/>
          <w:sz w:val="20"/>
          <w:szCs w:val="20"/>
        </w:rPr>
        <w:t xml:space="preserve"> concurrente</w:t>
      </w:r>
      <w:r w:rsidRPr="001950C9">
        <w:rPr>
          <w:rFonts w:ascii="Palatino Linotype" w:eastAsia="Calibri" w:hAnsi="Palatino Linotype" w:cs="Arial"/>
          <w:color w:val="000000" w:themeColor="text1"/>
          <w:sz w:val="20"/>
          <w:szCs w:val="20"/>
        </w:rPr>
        <w:t xml:space="preserve"> emitido en el recurso de revisión 0</w:t>
      </w:r>
      <w:r w:rsidR="004555CD">
        <w:rPr>
          <w:rFonts w:ascii="Palatino Linotype" w:eastAsia="Calibri" w:hAnsi="Palatino Linotype" w:cs="Arial"/>
          <w:color w:val="000000" w:themeColor="text1"/>
          <w:sz w:val="20"/>
          <w:szCs w:val="20"/>
        </w:rPr>
        <w:t>2461</w:t>
      </w:r>
      <w:r w:rsidRPr="001950C9">
        <w:rPr>
          <w:rFonts w:ascii="Palatino Linotype" w:eastAsia="Calibri" w:hAnsi="Palatino Linotype" w:cs="Arial"/>
          <w:color w:val="000000" w:themeColor="text1"/>
          <w:sz w:val="20"/>
          <w:szCs w:val="20"/>
        </w:rPr>
        <w:t>/INFOEM/IP/RR/201</w:t>
      </w:r>
      <w:r w:rsidR="00117251">
        <w:rPr>
          <w:rFonts w:ascii="Palatino Linotype" w:eastAsia="Calibri" w:hAnsi="Palatino Linotype" w:cs="Arial"/>
          <w:color w:val="000000" w:themeColor="text1"/>
          <w:sz w:val="20"/>
          <w:szCs w:val="20"/>
        </w:rPr>
        <w:t>8</w:t>
      </w:r>
      <w:r w:rsidRPr="001950C9">
        <w:rPr>
          <w:rFonts w:ascii="Palatino Linotype" w:eastAsia="Calibri" w:hAnsi="Palatino Linotype" w:cs="Arial"/>
          <w:color w:val="000000" w:themeColor="text1"/>
          <w:sz w:val="20"/>
          <w:szCs w:val="20"/>
        </w:rPr>
        <w:t>, aprobado el</w:t>
      </w:r>
      <w:r w:rsidR="004555CD">
        <w:rPr>
          <w:rFonts w:ascii="Palatino Linotype" w:eastAsia="Calibri" w:hAnsi="Palatino Linotype" w:cs="Arial"/>
          <w:color w:val="000000" w:themeColor="text1"/>
          <w:sz w:val="20"/>
          <w:szCs w:val="20"/>
        </w:rPr>
        <w:t xml:space="preserve"> cinco</w:t>
      </w:r>
      <w:r w:rsidR="00D33CF0">
        <w:rPr>
          <w:rFonts w:ascii="Palatino Linotype" w:eastAsia="Calibri" w:hAnsi="Palatino Linotype" w:cs="Arial"/>
          <w:color w:val="000000" w:themeColor="text1"/>
          <w:sz w:val="20"/>
          <w:szCs w:val="20"/>
        </w:rPr>
        <w:t xml:space="preserve"> de septiembre</w:t>
      </w:r>
      <w:r w:rsidR="004555CD">
        <w:rPr>
          <w:rFonts w:ascii="Palatino Linotype" w:eastAsia="Calibri" w:hAnsi="Palatino Linotype" w:cs="Arial"/>
          <w:color w:val="000000" w:themeColor="text1"/>
          <w:sz w:val="20"/>
          <w:szCs w:val="20"/>
        </w:rPr>
        <w:t xml:space="preserve"> de 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BA6DCB" w:rsidRPr="00BA6DCB" w:rsidRDefault="00BA6DCB" w:rsidP="0076436E">
      <w:pPr>
        <w:jc w:val="both"/>
        <w:rPr>
          <w:rFonts w:ascii="Palatino Linotype" w:eastAsia="Calibri" w:hAnsi="Palatino Linotype" w:cs="Arial"/>
          <w:color w:val="000000" w:themeColor="text1"/>
          <w:sz w:val="6"/>
          <w:szCs w:val="20"/>
        </w:rPr>
      </w:pPr>
    </w:p>
    <w:p w:rsidR="00746661" w:rsidRPr="00795474" w:rsidRDefault="00746661" w:rsidP="0076436E">
      <w:pPr>
        <w:jc w:val="both"/>
        <w:rPr>
          <w:rFonts w:ascii="Palatino Linotype" w:eastAsia="Calibri" w:hAnsi="Palatino Linotype" w:cs="Arial"/>
          <w:color w:val="000000" w:themeColor="text1"/>
          <w:sz w:val="20"/>
          <w:szCs w:val="20"/>
        </w:rPr>
      </w:pPr>
      <w:r w:rsidRPr="00EB7480">
        <w:rPr>
          <w:rFonts w:ascii="Palatino Linotype" w:eastAsia="Calibri" w:hAnsi="Palatino Linotype" w:cs="Arial"/>
          <w:color w:val="000000" w:themeColor="text1"/>
          <w:sz w:val="20"/>
          <w:szCs w:val="20"/>
        </w:rPr>
        <w:t>YSM/</w:t>
      </w:r>
      <w:r w:rsidR="004555CD">
        <w:rPr>
          <w:rFonts w:ascii="Palatino Linotype" w:eastAsia="Calibri" w:hAnsi="Palatino Linotype" w:cs="Arial"/>
          <w:color w:val="000000" w:themeColor="text1"/>
          <w:sz w:val="20"/>
          <w:szCs w:val="20"/>
        </w:rPr>
        <w:t>EJCA</w:t>
      </w:r>
    </w:p>
    <w:p w:rsidR="00847315" w:rsidRDefault="005E38C4" w:rsidP="0076436E"/>
    <w:sectPr w:rsidR="00847315" w:rsidSect="00EA6182">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B03" w:rsidRDefault="00A60B03" w:rsidP="00746661">
      <w:r>
        <w:separator/>
      </w:r>
    </w:p>
  </w:endnote>
  <w:endnote w:type="continuationSeparator" w:id="0">
    <w:p w:rsidR="00A60B03" w:rsidRDefault="00A60B03" w:rsidP="0074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2FB" w:rsidRDefault="005E38C4" w:rsidP="003056D9">
    <w:pPr>
      <w:pStyle w:val="Piedepgina"/>
      <w:tabs>
        <w:tab w:val="clear" w:pos="4252"/>
        <w:tab w:val="left" w:pos="4228"/>
      </w:tabs>
      <w:rPr>
        <w:rFonts w:ascii="Palatino Linotype" w:hAnsi="Palatino Linotype" w:cs="Arial"/>
        <w:b/>
        <w:bCs/>
        <w:sz w:val="20"/>
        <w:szCs w:val="20"/>
      </w:rPr>
    </w:pPr>
  </w:p>
  <w:p w:rsidR="003056D9" w:rsidRDefault="005E38C4" w:rsidP="003056D9">
    <w:pPr>
      <w:pStyle w:val="Piedepgina"/>
      <w:tabs>
        <w:tab w:val="clear" w:pos="4252"/>
        <w:tab w:val="left" w:pos="4228"/>
      </w:tabs>
      <w:rPr>
        <w:rFonts w:ascii="Palatino Linotype" w:hAnsi="Palatino Linotype" w:cs="Arial"/>
        <w:b/>
        <w:bCs/>
        <w:sz w:val="20"/>
        <w:szCs w:val="20"/>
      </w:rPr>
    </w:pPr>
  </w:p>
  <w:p w:rsidR="003056D9" w:rsidRDefault="005E38C4" w:rsidP="003056D9">
    <w:pPr>
      <w:pStyle w:val="Piedepgina"/>
      <w:tabs>
        <w:tab w:val="clear" w:pos="4252"/>
        <w:tab w:val="left" w:pos="4228"/>
      </w:tabs>
      <w:rPr>
        <w:rFonts w:ascii="Palatino Linotype" w:hAnsi="Palatino Linotype" w:cs="Arial"/>
        <w:b/>
        <w:bCs/>
        <w:sz w:val="20"/>
        <w:szCs w:val="20"/>
      </w:rPr>
    </w:pPr>
  </w:p>
  <w:p w:rsidR="00455CB3" w:rsidRDefault="005E38C4" w:rsidP="000E2B1A">
    <w:pPr>
      <w:pStyle w:val="Piedepgina"/>
      <w:rPr>
        <w:rFonts w:ascii="Palatino Linotype" w:hAnsi="Palatino Linotype" w:cs="Arial"/>
        <w:b/>
        <w:bCs/>
        <w:sz w:val="20"/>
        <w:szCs w:val="20"/>
      </w:rPr>
    </w:pPr>
  </w:p>
  <w:p w:rsidR="003056D9" w:rsidRPr="00F12350" w:rsidRDefault="000D7DA8"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5E38C4">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5E38C4">
      <w:rPr>
        <w:rFonts w:ascii="Palatino Linotype" w:hAnsi="Palatino Linotype" w:cs="Arial"/>
        <w:b/>
        <w:bCs/>
        <w:noProof/>
        <w:sz w:val="20"/>
        <w:szCs w:val="20"/>
      </w:rPr>
      <w:t>6</w:t>
    </w:r>
    <w:r w:rsidRPr="00F12350">
      <w:rPr>
        <w:rFonts w:ascii="Palatino Linotype" w:hAnsi="Palatino Linotype" w:cs="Arial"/>
        <w:b/>
        <w:bCs/>
        <w:sz w:val="20"/>
        <w:szCs w:val="20"/>
      </w:rPr>
      <w:fldChar w:fldCharType="end"/>
    </w:r>
  </w:p>
  <w:p w:rsidR="006F30F8" w:rsidRDefault="005E38C4"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B03" w:rsidRDefault="00A60B03" w:rsidP="00746661">
      <w:r>
        <w:separator/>
      </w:r>
    </w:p>
  </w:footnote>
  <w:footnote w:type="continuationSeparator" w:id="0">
    <w:p w:rsidR="00A60B03" w:rsidRDefault="00A60B03" w:rsidP="0074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E38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5168;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0D7DA8"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9264" behindDoc="1" locked="0" layoutInCell="1" allowOverlap="1" wp14:anchorId="49780E91" wp14:editId="1DD39E87">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746661" w:rsidRDefault="00746661" w:rsidP="0034309A">
    <w:pPr>
      <w:pStyle w:val="Encabezado"/>
      <w:tabs>
        <w:tab w:val="clear" w:pos="4252"/>
        <w:tab w:val="clear" w:pos="8504"/>
        <w:tab w:val="left" w:pos="2326"/>
      </w:tabs>
      <w:jc w:val="right"/>
      <w:rPr>
        <w:rFonts w:ascii="Palatino Linotype" w:hAnsi="Palatino Linotype" w:cs="Arial"/>
        <w:sz w:val="20"/>
        <w:szCs w:val="20"/>
      </w:rPr>
    </w:pPr>
  </w:p>
  <w:p w:rsidR="00746661" w:rsidRDefault="00746661" w:rsidP="0034309A">
    <w:pPr>
      <w:pStyle w:val="Encabezado"/>
      <w:tabs>
        <w:tab w:val="clear" w:pos="4252"/>
        <w:tab w:val="clear" w:pos="8504"/>
        <w:tab w:val="left" w:pos="2326"/>
      </w:tabs>
      <w:jc w:val="right"/>
      <w:rPr>
        <w:rFonts w:ascii="Palatino Linotype" w:hAnsi="Palatino Linotype" w:cs="Arial"/>
        <w:sz w:val="20"/>
        <w:szCs w:val="20"/>
      </w:rPr>
    </w:pPr>
  </w:p>
  <w:p w:rsidR="0034309A" w:rsidRDefault="000D7DA8"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r w:rsidR="00952958">
      <w:rPr>
        <w:rFonts w:ascii="Palatino Linotype" w:hAnsi="Palatino Linotype" w:cs="Arial"/>
        <w:sz w:val="20"/>
        <w:szCs w:val="20"/>
      </w:rPr>
      <w:t xml:space="preserve"> CONCURRENTE</w:t>
    </w:r>
  </w:p>
  <w:p w:rsidR="00634485" w:rsidRDefault="000D7DA8" w:rsidP="0034309A">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Pr>
        <w:rFonts w:ascii="Palatino Linotype" w:hAnsi="Palatino Linotype" w:cs="Arial"/>
        <w:sz w:val="20"/>
        <w:szCs w:val="20"/>
      </w:rPr>
      <w:t>0</w:t>
    </w:r>
    <w:r w:rsidR="003033F5">
      <w:rPr>
        <w:rFonts w:ascii="Palatino Linotype" w:hAnsi="Palatino Linotype" w:cs="Arial"/>
        <w:sz w:val="20"/>
        <w:szCs w:val="20"/>
      </w:rPr>
      <w:t>2461</w:t>
    </w:r>
    <w:r>
      <w:rPr>
        <w:rFonts w:ascii="Palatino Linotype" w:hAnsi="Palatino Linotype" w:cs="Arial"/>
        <w:sz w:val="20"/>
        <w:szCs w:val="20"/>
      </w:rPr>
      <w:t>/INFOEM/IP</w:t>
    </w:r>
    <w:r w:rsidRPr="00706042">
      <w:rPr>
        <w:rFonts w:ascii="Palatino Linotype" w:hAnsi="Palatino Linotype" w:cs="Arial"/>
        <w:sz w:val="20"/>
        <w:szCs w:val="20"/>
      </w:rPr>
      <w:t>/RR/201</w:t>
    </w:r>
    <w:r w:rsidR="00D00CD7">
      <w:rPr>
        <w:rFonts w:ascii="Palatino Linotype" w:hAnsi="Palatino Linotype" w:cs="Arial"/>
        <w:sz w:val="20"/>
        <w:szCs w:val="20"/>
      </w:rPr>
      <w:t>8</w:t>
    </w:r>
  </w:p>
  <w:p w:rsidR="00EB7480" w:rsidRDefault="005E38C4" w:rsidP="0034309A">
    <w:pPr>
      <w:pStyle w:val="Encabezado"/>
      <w:tabs>
        <w:tab w:val="clear" w:pos="4252"/>
        <w:tab w:val="clear" w:pos="8504"/>
        <w:tab w:val="left" w:pos="2326"/>
      </w:tabs>
      <w:jc w:val="right"/>
      <w:rPr>
        <w:rFonts w:ascii="Palatino Linotype" w:hAnsi="Palatino Linotype" w:cs="Arial"/>
        <w:sz w:val="20"/>
        <w:szCs w:val="20"/>
      </w:rPr>
    </w:pPr>
    <w:r>
      <w:rPr>
        <w:rFonts w:ascii="Cambria" w:hAnsi="Cambria"/>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14.65pt;height:76.15pt;rotation:315;z-index:-251654144;mso-position-horizontal:center;mso-position-horizontal-relative:margin;mso-position-vertical:center;mso-position-vertical-relative:margin" o:allowincell="f" fillcolor="#bfbfbf [2412]" stroked="f">
          <v:fill opacity=".5"/>
          <v:textpath style="font-family:&quot;Palatino Linotype&quot;;font-size:1pt" string="VOTO PARTICULAR CONCURREN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5E38C4">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8240;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661"/>
    <w:rsid w:val="000223F9"/>
    <w:rsid w:val="000D7DA8"/>
    <w:rsid w:val="00117251"/>
    <w:rsid w:val="00165D2E"/>
    <w:rsid w:val="00216380"/>
    <w:rsid w:val="002241DF"/>
    <w:rsid w:val="00264A0C"/>
    <w:rsid w:val="00296C85"/>
    <w:rsid w:val="002E1880"/>
    <w:rsid w:val="002E522D"/>
    <w:rsid w:val="002F175F"/>
    <w:rsid w:val="003033F5"/>
    <w:rsid w:val="00324EBE"/>
    <w:rsid w:val="00377D75"/>
    <w:rsid w:val="003B2B30"/>
    <w:rsid w:val="003C2F6A"/>
    <w:rsid w:val="00437359"/>
    <w:rsid w:val="004555CD"/>
    <w:rsid w:val="00492DAF"/>
    <w:rsid w:val="004B765B"/>
    <w:rsid w:val="005177A3"/>
    <w:rsid w:val="0053148C"/>
    <w:rsid w:val="005A1540"/>
    <w:rsid w:val="005A4D7F"/>
    <w:rsid w:val="005D50FC"/>
    <w:rsid w:val="005E38C4"/>
    <w:rsid w:val="0062024C"/>
    <w:rsid w:val="006263A5"/>
    <w:rsid w:val="00650350"/>
    <w:rsid w:val="00654FE9"/>
    <w:rsid w:val="006801D4"/>
    <w:rsid w:val="006B30CD"/>
    <w:rsid w:val="006E0B3D"/>
    <w:rsid w:val="00746661"/>
    <w:rsid w:val="0076436E"/>
    <w:rsid w:val="007735C0"/>
    <w:rsid w:val="007822D3"/>
    <w:rsid w:val="00792E4E"/>
    <w:rsid w:val="00797A58"/>
    <w:rsid w:val="007A11A6"/>
    <w:rsid w:val="007A652C"/>
    <w:rsid w:val="007A7ADB"/>
    <w:rsid w:val="007C7A0C"/>
    <w:rsid w:val="00811B0B"/>
    <w:rsid w:val="00823D4F"/>
    <w:rsid w:val="00842BD4"/>
    <w:rsid w:val="008523CA"/>
    <w:rsid w:val="00864D3F"/>
    <w:rsid w:val="008A0882"/>
    <w:rsid w:val="008A35FA"/>
    <w:rsid w:val="008B0732"/>
    <w:rsid w:val="008D6B67"/>
    <w:rsid w:val="008E2007"/>
    <w:rsid w:val="008E4664"/>
    <w:rsid w:val="00952958"/>
    <w:rsid w:val="00974DDF"/>
    <w:rsid w:val="00990B93"/>
    <w:rsid w:val="009C47E0"/>
    <w:rsid w:val="009D0A07"/>
    <w:rsid w:val="009E2AD9"/>
    <w:rsid w:val="00A5599A"/>
    <w:rsid w:val="00A60B03"/>
    <w:rsid w:val="00A96975"/>
    <w:rsid w:val="00A97455"/>
    <w:rsid w:val="00AC7263"/>
    <w:rsid w:val="00B10350"/>
    <w:rsid w:val="00B92C7F"/>
    <w:rsid w:val="00BA6DCB"/>
    <w:rsid w:val="00BA7100"/>
    <w:rsid w:val="00BD626F"/>
    <w:rsid w:val="00C07B76"/>
    <w:rsid w:val="00C353B4"/>
    <w:rsid w:val="00CA6CC6"/>
    <w:rsid w:val="00CE0D21"/>
    <w:rsid w:val="00D00CD7"/>
    <w:rsid w:val="00D33CF0"/>
    <w:rsid w:val="00D433D9"/>
    <w:rsid w:val="00D724F4"/>
    <w:rsid w:val="00D7716A"/>
    <w:rsid w:val="00E11F26"/>
    <w:rsid w:val="00E36A75"/>
    <w:rsid w:val="00E55CB4"/>
    <w:rsid w:val="00E96A1E"/>
    <w:rsid w:val="00F05AC0"/>
    <w:rsid w:val="00F6054C"/>
    <w:rsid w:val="00F6474C"/>
    <w:rsid w:val="00F64CC1"/>
    <w:rsid w:val="00FA0B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4757040-BD1E-45B2-A077-DE0D4983B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66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46661"/>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746661"/>
    <w:rPr>
      <w:rFonts w:eastAsiaTheme="minorEastAsia"/>
      <w:sz w:val="24"/>
      <w:szCs w:val="24"/>
      <w:lang w:val="es-ES_tradnl" w:eastAsia="es-ES"/>
    </w:rPr>
  </w:style>
  <w:style w:type="paragraph" w:styleId="Piedepgina">
    <w:name w:val="footer"/>
    <w:basedOn w:val="Normal"/>
    <w:link w:val="PiedepginaCar"/>
    <w:uiPriority w:val="99"/>
    <w:unhideWhenUsed/>
    <w:rsid w:val="00746661"/>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746661"/>
    <w:rPr>
      <w:rFonts w:eastAsiaTheme="minorEastAsia"/>
      <w:sz w:val="24"/>
      <w:szCs w:val="24"/>
      <w:lang w:val="es-ES_tradnl" w:eastAsia="es-ES"/>
    </w:rPr>
  </w:style>
  <w:style w:type="paragraph" w:styleId="Prrafodelista">
    <w:name w:val="List Paragraph"/>
    <w:basedOn w:val="Normal"/>
    <w:link w:val="PrrafodelistaCar"/>
    <w:uiPriority w:val="34"/>
    <w:qFormat/>
    <w:rsid w:val="00F05AC0"/>
    <w:pPr>
      <w:ind w:left="720"/>
      <w:contextualSpacing/>
    </w:pPr>
  </w:style>
  <w:style w:type="character" w:customStyle="1" w:styleId="PrrafodelistaCar">
    <w:name w:val="Párrafo de lista Car"/>
    <w:link w:val="Prrafodelista"/>
    <w:uiPriority w:val="34"/>
    <w:locked/>
    <w:rsid w:val="00F05AC0"/>
    <w:rPr>
      <w:rFonts w:ascii="Times New Roman" w:eastAsia="Times New Roman" w:hAnsi="Times New Roman" w:cs="Times New Roman"/>
      <w:sz w:val="24"/>
      <w:szCs w:val="24"/>
      <w:lang w:eastAsia="es-ES"/>
    </w:rPr>
  </w:style>
  <w:style w:type="paragraph" w:customStyle="1" w:styleId="francesa">
    <w:name w:val="francesa"/>
    <w:basedOn w:val="Normal"/>
    <w:rsid w:val="000223F9"/>
    <w:pPr>
      <w:spacing w:before="100" w:beforeAutospacing="1" w:after="100" w:afterAutospacing="1"/>
    </w:pPr>
    <w:rPr>
      <w:lang w:eastAsia="es-MX"/>
    </w:rPr>
  </w:style>
  <w:style w:type="table" w:styleId="Tablaconcuadrcula">
    <w:name w:val="Table Grid"/>
    <w:basedOn w:val="Tablanormal"/>
    <w:uiPriority w:val="39"/>
    <w:rsid w:val="00117251"/>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051482">
      <w:bodyDiv w:val="1"/>
      <w:marLeft w:val="0"/>
      <w:marRight w:val="0"/>
      <w:marTop w:val="0"/>
      <w:marBottom w:val="0"/>
      <w:divBdr>
        <w:top w:val="none" w:sz="0" w:space="0" w:color="auto"/>
        <w:left w:val="none" w:sz="0" w:space="0" w:color="auto"/>
        <w:bottom w:val="none" w:sz="0" w:space="0" w:color="auto"/>
        <w:right w:val="none" w:sz="0" w:space="0" w:color="auto"/>
      </w:divBdr>
      <w:divsChild>
        <w:div w:id="1922177639">
          <w:marLeft w:val="0"/>
          <w:marRight w:val="0"/>
          <w:marTop w:val="0"/>
          <w:marBottom w:val="0"/>
          <w:divBdr>
            <w:top w:val="none" w:sz="0" w:space="0" w:color="auto"/>
            <w:left w:val="none" w:sz="0" w:space="0" w:color="auto"/>
            <w:bottom w:val="none" w:sz="0" w:space="0" w:color="auto"/>
            <w:right w:val="none" w:sz="0" w:space="0" w:color="auto"/>
          </w:divBdr>
        </w:div>
        <w:div w:id="1345203124">
          <w:marLeft w:val="0"/>
          <w:marRight w:val="0"/>
          <w:marTop w:val="0"/>
          <w:marBottom w:val="0"/>
          <w:divBdr>
            <w:top w:val="none" w:sz="0" w:space="0" w:color="auto"/>
            <w:left w:val="none" w:sz="0" w:space="0" w:color="auto"/>
            <w:bottom w:val="none" w:sz="0" w:space="0" w:color="auto"/>
            <w:right w:val="none" w:sz="0" w:space="0" w:color="auto"/>
          </w:divBdr>
          <w:divsChild>
            <w:div w:id="16908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59E93-FC94-44D3-9BB4-CDCADC12E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1261</Words>
  <Characters>6940</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PONENCIA EAY</dc:creator>
  <cp:keywords/>
  <dc:description/>
  <cp:lastModifiedBy>PONENCIA EAY</cp:lastModifiedBy>
  <cp:revision>4</cp:revision>
  <cp:lastPrinted>2017-05-05T00:11:00Z</cp:lastPrinted>
  <dcterms:created xsi:type="dcterms:W3CDTF">2018-09-10T19:31:00Z</dcterms:created>
  <dcterms:modified xsi:type="dcterms:W3CDTF">2018-10-19T17:49:00Z</dcterms:modified>
</cp:coreProperties>
</file>